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6331" w14:textId="77777777" w:rsidR="006C3746" w:rsidRDefault="006C3746">
      <w:r>
        <w:t xml:space="preserve">CA = Collective Agreement </w:t>
      </w:r>
      <w:r>
        <w:tab/>
        <w:t xml:space="preserve">CB = </w:t>
      </w:r>
      <w:proofErr w:type="spellStart"/>
      <w:r>
        <w:t>Colletive</w:t>
      </w:r>
      <w:proofErr w:type="spellEnd"/>
      <w:r>
        <w:t xml:space="preserve"> Bargaining </w:t>
      </w:r>
      <w:r>
        <w:tab/>
        <w:t>EO = Employers’ Organisation</w:t>
      </w:r>
    </w:p>
    <w:tbl>
      <w:tblPr>
        <w:tblStyle w:val="Tablaconcuadrcula"/>
        <w:tblW w:w="14312" w:type="dxa"/>
        <w:tblLook w:val="04A0" w:firstRow="1" w:lastRow="0" w:firstColumn="1" w:lastColumn="0" w:noHBand="0" w:noVBand="1"/>
      </w:tblPr>
      <w:tblGrid>
        <w:gridCol w:w="481"/>
        <w:gridCol w:w="2157"/>
        <w:gridCol w:w="1854"/>
        <w:gridCol w:w="1492"/>
        <w:gridCol w:w="2135"/>
        <w:gridCol w:w="1448"/>
        <w:gridCol w:w="1500"/>
        <w:gridCol w:w="1586"/>
        <w:gridCol w:w="1659"/>
      </w:tblGrid>
      <w:tr w:rsidR="00246D11" w:rsidRPr="00CE0380" w14:paraId="1E9E01D8" w14:textId="77777777" w:rsidTr="006A1C57">
        <w:trPr>
          <w:tblHeader/>
        </w:trPr>
        <w:tc>
          <w:tcPr>
            <w:tcW w:w="2638" w:type="dxa"/>
            <w:gridSpan w:val="2"/>
          </w:tcPr>
          <w:p w14:paraId="08EB39E1" w14:textId="77777777" w:rsidR="006C3746" w:rsidRDefault="006C3746" w:rsidP="006C3746">
            <w:pPr>
              <w:jc w:val="center"/>
              <w:rPr>
                <w:rFonts w:cstheme="minorHAnsi"/>
                <w:b/>
                <w:szCs w:val="18"/>
              </w:rPr>
            </w:pPr>
            <w:r>
              <w:rPr>
                <w:rFonts w:cstheme="minorHAnsi"/>
                <w:b/>
                <w:szCs w:val="18"/>
              </w:rPr>
              <w:t>VIRAL</w:t>
            </w:r>
          </w:p>
          <w:p w14:paraId="43180F81" w14:textId="77777777" w:rsidR="006C3746" w:rsidRPr="006C3746" w:rsidRDefault="006C3746" w:rsidP="006C3746">
            <w:pPr>
              <w:jc w:val="center"/>
              <w:rPr>
                <w:rFonts w:cstheme="minorHAnsi"/>
                <w:b/>
                <w:szCs w:val="18"/>
              </w:rPr>
            </w:pPr>
            <w:r w:rsidRPr="006C3746">
              <w:rPr>
                <w:rFonts w:cstheme="minorHAnsi"/>
                <w:b/>
                <w:szCs w:val="18"/>
              </w:rPr>
              <w:t>IR pre-Covid-19</w:t>
            </w:r>
          </w:p>
        </w:tc>
        <w:tc>
          <w:tcPr>
            <w:tcW w:w="1854" w:type="dxa"/>
            <w:vAlign w:val="center"/>
          </w:tcPr>
          <w:p w14:paraId="0D17AC7F" w14:textId="77777777" w:rsidR="006C3746" w:rsidRPr="006C3746" w:rsidRDefault="006C3746" w:rsidP="006C3746">
            <w:pPr>
              <w:jc w:val="center"/>
              <w:rPr>
                <w:rFonts w:cstheme="minorHAnsi"/>
                <w:b/>
                <w:szCs w:val="18"/>
              </w:rPr>
            </w:pPr>
            <w:r w:rsidRPr="006C3746">
              <w:rPr>
                <w:rFonts w:cstheme="minorHAnsi"/>
                <w:b/>
                <w:szCs w:val="18"/>
              </w:rPr>
              <w:t>Denmark</w:t>
            </w:r>
          </w:p>
        </w:tc>
        <w:tc>
          <w:tcPr>
            <w:tcW w:w="1492" w:type="dxa"/>
            <w:vAlign w:val="center"/>
          </w:tcPr>
          <w:p w14:paraId="60413570" w14:textId="77777777" w:rsidR="006C3746" w:rsidRPr="006C3746" w:rsidRDefault="006C3746" w:rsidP="006C3746">
            <w:pPr>
              <w:jc w:val="center"/>
              <w:rPr>
                <w:rFonts w:cstheme="minorHAnsi"/>
                <w:b/>
                <w:szCs w:val="18"/>
              </w:rPr>
            </w:pPr>
            <w:r w:rsidRPr="006C3746">
              <w:rPr>
                <w:rFonts w:cstheme="minorHAnsi"/>
                <w:b/>
                <w:szCs w:val="18"/>
              </w:rPr>
              <w:t>France</w:t>
            </w:r>
          </w:p>
        </w:tc>
        <w:tc>
          <w:tcPr>
            <w:tcW w:w="2135" w:type="dxa"/>
            <w:vAlign w:val="center"/>
          </w:tcPr>
          <w:p w14:paraId="40ABF775" w14:textId="77777777" w:rsidR="006C3746" w:rsidRPr="006C3746" w:rsidRDefault="006C3746" w:rsidP="006C3746">
            <w:pPr>
              <w:jc w:val="center"/>
              <w:rPr>
                <w:rFonts w:cstheme="minorHAnsi"/>
                <w:b/>
                <w:szCs w:val="18"/>
              </w:rPr>
            </w:pPr>
            <w:r w:rsidRPr="006C3746">
              <w:rPr>
                <w:rFonts w:cstheme="minorHAnsi"/>
                <w:b/>
                <w:szCs w:val="18"/>
              </w:rPr>
              <w:t>Germany</w:t>
            </w:r>
          </w:p>
        </w:tc>
        <w:tc>
          <w:tcPr>
            <w:tcW w:w="1448" w:type="dxa"/>
            <w:vAlign w:val="center"/>
          </w:tcPr>
          <w:p w14:paraId="20412151" w14:textId="77777777" w:rsidR="006C3746" w:rsidRPr="006C3746" w:rsidRDefault="006C3746" w:rsidP="006C3746">
            <w:pPr>
              <w:jc w:val="center"/>
              <w:rPr>
                <w:rFonts w:cstheme="minorHAnsi"/>
                <w:b/>
                <w:szCs w:val="18"/>
              </w:rPr>
            </w:pPr>
            <w:r w:rsidRPr="006C3746">
              <w:rPr>
                <w:rFonts w:cstheme="minorHAnsi"/>
                <w:b/>
                <w:szCs w:val="18"/>
              </w:rPr>
              <w:t>Italy</w:t>
            </w:r>
          </w:p>
        </w:tc>
        <w:tc>
          <w:tcPr>
            <w:tcW w:w="1500" w:type="dxa"/>
            <w:vAlign w:val="center"/>
          </w:tcPr>
          <w:p w14:paraId="7DA7E3C8" w14:textId="77777777" w:rsidR="006C3746" w:rsidRPr="006C3746" w:rsidRDefault="006C3746" w:rsidP="006C3746">
            <w:pPr>
              <w:jc w:val="center"/>
              <w:rPr>
                <w:rFonts w:cstheme="minorHAnsi"/>
                <w:b/>
                <w:szCs w:val="18"/>
              </w:rPr>
            </w:pPr>
            <w:r w:rsidRPr="006C3746">
              <w:rPr>
                <w:rFonts w:cstheme="minorHAnsi"/>
                <w:b/>
                <w:szCs w:val="18"/>
              </w:rPr>
              <w:t>Ireland</w:t>
            </w:r>
          </w:p>
        </w:tc>
        <w:tc>
          <w:tcPr>
            <w:tcW w:w="1586" w:type="dxa"/>
            <w:vAlign w:val="center"/>
          </w:tcPr>
          <w:p w14:paraId="2CDA7B2D" w14:textId="77777777" w:rsidR="006C3746" w:rsidRPr="006C3746" w:rsidRDefault="006C3746" w:rsidP="006C3746">
            <w:pPr>
              <w:jc w:val="center"/>
              <w:rPr>
                <w:rFonts w:cstheme="minorHAnsi"/>
                <w:b/>
                <w:szCs w:val="18"/>
              </w:rPr>
            </w:pPr>
            <w:r w:rsidRPr="006C3746">
              <w:rPr>
                <w:rFonts w:cstheme="minorHAnsi"/>
                <w:b/>
                <w:szCs w:val="18"/>
              </w:rPr>
              <w:t>Poland</w:t>
            </w:r>
          </w:p>
        </w:tc>
        <w:tc>
          <w:tcPr>
            <w:tcW w:w="1659" w:type="dxa"/>
            <w:vAlign w:val="center"/>
          </w:tcPr>
          <w:p w14:paraId="54B42937" w14:textId="77777777" w:rsidR="006C3746" w:rsidRPr="006C3746" w:rsidRDefault="006C3746" w:rsidP="006C3746">
            <w:pPr>
              <w:jc w:val="center"/>
              <w:rPr>
                <w:rFonts w:cstheme="minorHAnsi"/>
                <w:b/>
                <w:szCs w:val="18"/>
              </w:rPr>
            </w:pPr>
            <w:r w:rsidRPr="006C3746">
              <w:rPr>
                <w:rFonts w:cstheme="minorHAnsi"/>
                <w:b/>
                <w:szCs w:val="18"/>
              </w:rPr>
              <w:t>Spain</w:t>
            </w:r>
          </w:p>
        </w:tc>
      </w:tr>
      <w:tr w:rsidR="00246D11" w:rsidRPr="00940759" w14:paraId="58017C86" w14:textId="77777777" w:rsidTr="006A1C57">
        <w:tc>
          <w:tcPr>
            <w:tcW w:w="481" w:type="dxa"/>
            <w:vAlign w:val="center"/>
          </w:tcPr>
          <w:p w14:paraId="2EB96D4C" w14:textId="77777777" w:rsidR="00BD6658" w:rsidRPr="00CE0380" w:rsidRDefault="00BD6658" w:rsidP="00CE0380">
            <w:pPr>
              <w:rPr>
                <w:rFonts w:cstheme="minorHAnsi"/>
                <w:b/>
                <w:sz w:val="18"/>
                <w:szCs w:val="18"/>
              </w:rPr>
            </w:pPr>
            <w:r w:rsidRPr="00CE0380">
              <w:rPr>
                <w:rFonts w:cstheme="minorHAnsi"/>
                <w:b/>
                <w:sz w:val="18"/>
                <w:szCs w:val="18"/>
              </w:rPr>
              <w:t>1</w:t>
            </w:r>
          </w:p>
        </w:tc>
        <w:tc>
          <w:tcPr>
            <w:tcW w:w="2157" w:type="dxa"/>
            <w:vAlign w:val="center"/>
          </w:tcPr>
          <w:p w14:paraId="1AA2CE6F" w14:textId="77777777" w:rsidR="00BD6658" w:rsidRPr="00CE0380" w:rsidRDefault="006C3746" w:rsidP="001E5636">
            <w:pPr>
              <w:rPr>
                <w:rFonts w:cstheme="minorHAnsi"/>
                <w:b/>
                <w:sz w:val="18"/>
                <w:szCs w:val="18"/>
              </w:rPr>
            </w:pPr>
            <w:r>
              <w:rPr>
                <w:rFonts w:cstheme="minorHAnsi"/>
                <w:b/>
                <w:sz w:val="18"/>
                <w:szCs w:val="18"/>
              </w:rPr>
              <w:t>T</w:t>
            </w:r>
            <w:r w:rsidR="001E5636">
              <w:rPr>
                <w:rFonts w:cstheme="minorHAnsi"/>
                <w:b/>
                <w:sz w:val="18"/>
                <w:szCs w:val="18"/>
              </w:rPr>
              <w:t>he main</w:t>
            </w:r>
            <w:r w:rsidR="00B1269A">
              <w:rPr>
                <w:rFonts w:cstheme="minorHAnsi"/>
                <w:b/>
                <w:sz w:val="18"/>
                <w:szCs w:val="18"/>
              </w:rPr>
              <w:t xml:space="preserve"> </w:t>
            </w:r>
            <w:r w:rsidR="00BD6658" w:rsidRPr="00CE0380">
              <w:rPr>
                <w:rFonts w:cstheme="minorHAnsi"/>
                <w:b/>
                <w:sz w:val="18"/>
                <w:szCs w:val="18"/>
              </w:rPr>
              <w:t>actors</w:t>
            </w:r>
          </w:p>
        </w:tc>
        <w:tc>
          <w:tcPr>
            <w:tcW w:w="1854" w:type="dxa"/>
          </w:tcPr>
          <w:p w14:paraId="1F6091DE" w14:textId="46DADEED" w:rsidR="00BD6658" w:rsidRPr="00CE0380" w:rsidRDefault="00BD6658" w:rsidP="00786627">
            <w:pPr>
              <w:rPr>
                <w:rFonts w:cstheme="minorHAnsi"/>
                <w:sz w:val="18"/>
                <w:szCs w:val="18"/>
              </w:rPr>
            </w:pPr>
          </w:p>
        </w:tc>
        <w:tc>
          <w:tcPr>
            <w:tcW w:w="1492" w:type="dxa"/>
          </w:tcPr>
          <w:p w14:paraId="56C8BE4D" w14:textId="77777777" w:rsidR="00BD6658" w:rsidRPr="00CE0380" w:rsidRDefault="00BD6658" w:rsidP="00CE0380">
            <w:pPr>
              <w:rPr>
                <w:rFonts w:cstheme="minorHAnsi"/>
                <w:sz w:val="18"/>
                <w:szCs w:val="18"/>
              </w:rPr>
            </w:pPr>
          </w:p>
        </w:tc>
        <w:tc>
          <w:tcPr>
            <w:tcW w:w="2135" w:type="dxa"/>
          </w:tcPr>
          <w:p w14:paraId="36A2B96E" w14:textId="77777777" w:rsidR="00940759" w:rsidRPr="00940759" w:rsidRDefault="00940759" w:rsidP="00806AA7">
            <w:pPr>
              <w:rPr>
                <w:rFonts w:cstheme="minorHAnsi"/>
                <w:sz w:val="20"/>
                <w:szCs w:val="20"/>
              </w:rPr>
            </w:pPr>
          </w:p>
        </w:tc>
        <w:tc>
          <w:tcPr>
            <w:tcW w:w="1448" w:type="dxa"/>
          </w:tcPr>
          <w:p w14:paraId="1BB089AE" w14:textId="77777777" w:rsidR="00BD6658" w:rsidRPr="00940759" w:rsidRDefault="00BD6658" w:rsidP="00CE0380">
            <w:pPr>
              <w:rPr>
                <w:rFonts w:cstheme="minorHAnsi"/>
                <w:sz w:val="18"/>
                <w:szCs w:val="18"/>
              </w:rPr>
            </w:pPr>
          </w:p>
        </w:tc>
        <w:tc>
          <w:tcPr>
            <w:tcW w:w="1500" w:type="dxa"/>
          </w:tcPr>
          <w:p w14:paraId="5E9E8E15" w14:textId="77777777" w:rsidR="00BD6658" w:rsidRPr="00940759" w:rsidRDefault="00BD6658" w:rsidP="00CE0380">
            <w:pPr>
              <w:rPr>
                <w:rFonts w:cstheme="minorHAnsi"/>
                <w:sz w:val="18"/>
                <w:szCs w:val="18"/>
              </w:rPr>
            </w:pPr>
          </w:p>
        </w:tc>
        <w:tc>
          <w:tcPr>
            <w:tcW w:w="1586" w:type="dxa"/>
          </w:tcPr>
          <w:p w14:paraId="30EA4773" w14:textId="108F246B" w:rsidR="00CE4E87" w:rsidRPr="00EF6E0B" w:rsidRDefault="00CE4E87" w:rsidP="00EF6E0B">
            <w:pPr>
              <w:jc w:val="both"/>
              <w:rPr>
                <w:rFonts w:cstheme="minorHAnsi"/>
                <w:sz w:val="18"/>
                <w:szCs w:val="18"/>
                <w:lang w:val="en-GB"/>
              </w:rPr>
            </w:pPr>
          </w:p>
          <w:p w14:paraId="03BDAC7A" w14:textId="77777777" w:rsidR="00BD6658" w:rsidRPr="00EF6E0B" w:rsidRDefault="00BD6658" w:rsidP="00EF6E0B">
            <w:pPr>
              <w:rPr>
                <w:rFonts w:cstheme="minorHAnsi"/>
                <w:sz w:val="18"/>
                <w:szCs w:val="18"/>
              </w:rPr>
            </w:pPr>
          </w:p>
        </w:tc>
        <w:tc>
          <w:tcPr>
            <w:tcW w:w="1659" w:type="dxa"/>
          </w:tcPr>
          <w:p w14:paraId="44ADEAB7" w14:textId="0511EABA" w:rsidR="00BD6658" w:rsidRDefault="00F74E38" w:rsidP="00CE0380">
            <w:pPr>
              <w:rPr>
                <w:rFonts w:cstheme="minorHAnsi"/>
                <w:sz w:val="18"/>
                <w:szCs w:val="18"/>
              </w:rPr>
            </w:pPr>
            <w:r>
              <w:rPr>
                <w:rFonts w:cstheme="minorHAnsi"/>
                <w:sz w:val="18"/>
                <w:szCs w:val="18"/>
              </w:rPr>
              <w:t xml:space="preserve">The main trade unions are: </w:t>
            </w:r>
          </w:p>
          <w:p w14:paraId="79F3790E" w14:textId="77777777" w:rsidR="00F74E38" w:rsidRDefault="00F74E38" w:rsidP="00CE0380">
            <w:pPr>
              <w:rPr>
                <w:rFonts w:cstheme="minorHAnsi"/>
                <w:sz w:val="18"/>
                <w:szCs w:val="18"/>
              </w:rPr>
            </w:pPr>
            <w:proofErr w:type="spellStart"/>
            <w:r>
              <w:rPr>
                <w:rFonts w:cstheme="minorHAnsi"/>
                <w:sz w:val="18"/>
                <w:szCs w:val="18"/>
              </w:rPr>
              <w:t>Comisiones</w:t>
            </w:r>
            <w:proofErr w:type="spellEnd"/>
            <w:r>
              <w:rPr>
                <w:rFonts w:cstheme="minorHAnsi"/>
                <w:sz w:val="18"/>
                <w:szCs w:val="18"/>
              </w:rPr>
              <w:t xml:space="preserve"> </w:t>
            </w:r>
            <w:proofErr w:type="spellStart"/>
            <w:r>
              <w:rPr>
                <w:rFonts w:cstheme="minorHAnsi"/>
                <w:sz w:val="18"/>
                <w:szCs w:val="18"/>
              </w:rPr>
              <w:t>Obreras</w:t>
            </w:r>
            <w:proofErr w:type="spellEnd"/>
            <w:r>
              <w:rPr>
                <w:rFonts w:cstheme="minorHAnsi"/>
                <w:sz w:val="18"/>
                <w:szCs w:val="18"/>
              </w:rPr>
              <w:t xml:space="preserve"> (CCOO) (35% works council members) y Unión General de </w:t>
            </w:r>
            <w:proofErr w:type="spellStart"/>
            <w:r>
              <w:rPr>
                <w:rFonts w:cstheme="minorHAnsi"/>
                <w:sz w:val="18"/>
                <w:szCs w:val="18"/>
              </w:rPr>
              <w:t>Trabajadores</w:t>
            </w:r>
            <w:proofErr w:type="spellEnd"/>
            <w:r>
              <w:rPr>
                <w:rFonts w:cstheme="minorHAnsi"/>
                <w:sz w:val="18"/>
                <w:szCs w:val="18"/>
              </w:rPr>
              <w:t xml:space="preserve"> (UGT) (32% works council members)</w:t>
            </w:r>
          </w:p>
          <w:p w14:paraId="732B1140" w14:textId="77777777" w:rsidR="00F74E38" w:rsidRDefault="00F74E38" w:rsidP="00CE0380">
            <w:pPr>
              <w:rPr>
                <w:rFonts w:cstheme="minorHAnsi"/>
                <w:sz w:val="18"/>
                <w:szCs w:val="18"/>
              </w:rPr>
            </w:pPr>
          </w:p>
          <w:p w14:paraId="3CF39023" w14:textId="77777777" w:rsidR="00F74E38" w:rsidRPr="00F74E38" w:rsidRDefault="00F74E38" w:rsidP="00F74E38">
            <w:pPr>
              <w:rPr>
                <w:rFonts w:cstheme="minorHAnsi"/>
                <w:sz w:val="18"/>
                <w:szCs w:val="18"/>
              </w:rPr>
            </w:pPr>
            <w:r w:rsidRPr="00F74E38">
              <w:rPr>
                <w:rFonts w:cstheme="minorHAnsi"/>
                <w:sz w:val="18"/>
                <w:szCs w:val="18"/>
              </w:rPr>
              <w:t xml:space="preserve">The main employers' </w:t>
            </w:r>
            <w:proofErr w:type="spellStart"/>
            <w:r w:rsidRPr="00F74E38">
              <w:rPr>
                <w:rFonts w:cstheme="minorHAnsi"/>
                <w:sz w:val="18"/>
                <w:szCs w:val="18"/>
              </w:rPr>
              <w:t>organisation</w:t>
            </w:r>
            <w:proofErr w:type="spellEnd"/>
            <w:r w:rsidRPr="00F74E38">
              <w:rPr>
                <w:rFonts w:cstheme="minorHAnsi"/>
                <w:sz w:val="18"/>
                <w:szCs w:val="18"/>
              </w:rPr>
              <w:t xml:space="preserve"> is:</w:t>
            </w:r>
          </w:p>
          <w:p w14:paraId="1E8E6691" w14:textId="3F3D224E" w:rsidR="00F74E38" w:rsidRPr="00940759" w:rsidRDefault="00F74E38" w:rsidP="00F74E38">
            <w:pPr>
              <w:rPr>
                <w:rFonts w:cstheme="minorHAnsi"/>
                <w:sz w:val="18"/>
                <w:szCs w:val="18"/>
              </w:rPr>
            </w:pPr>
            <w:proofErr w:type="spellStart"/>
            <w:r w:rsidRPr="00F74E38">
              <w:rPr>
                <w:rFonts w:cstheme="minorHAnsi"/>
                <w:sz w:val="18"/>
                <w:szCs w:val="18"/>
              </w:rPr>
              <w:t>Confederación</w:t>
            </w:r>
            <w:proofErr w:type="spellEnd"/>
            <w:r w:rsidRPr="00F74E38">
              <w:rPr>
                <w:rFonts w:cstheme="minorHAnsi"/>
                <w:sz w:val="18"/>
                <w:szCs w:val="18"/>
              </w:rPr>
              <w:t xml:space="preserve"> Española de </w:t>
            </w:r>
            <w:proofErr w:type="spellStart"/>
            <w:r w:rsidRPr="00F74E38">
              <w:rPr>
                <w:rFonts w:cstheme="minorHAnsi"/>
                <w:sz w:val="18"/>
                <w:szCs w:val="18"/>
              </w:rPr>
              <w:t>Organizaciones</w:t>
            </w:r>
            <w:proofErr w:type="spellEnd"/>
            <w:r w:rsidRPr="00F74E38">
              <w:rPr>
                <w:rFonts w:cstheme="minorHAnsi"/>
                <w:sz w:val="18"/>
                <w:szCs w:val="18"/>
              </w:rPr>
              <w:t xml:space="preserve"> </w:t>
            </w:r>
            <w:proofErr w:type="spellStart"/>
            <w:r w:rsidRPr="00F74E38">
              <w:rPr>
                <w:rFonts w:cstheme="minorHAnsi"/>
                <w:sz w:val="18"/>
                <w:szCs w:val="18"/>
              </w:rPr>
              <w:t>Empresariales</w:t>
            </w:r>
            <w:proofErr w:type="spellEnd"/>
            <w:r>
              <w:rPr>
                <w:rFonts w:cstheme="minorHAnsi"/>
                <w:sz w:val="18"/>
                <w:szCs w:val="18"/>
              </w:rPr>
              <w:t xml:space="preserve"> (CEOE)</w:t>
            </w:r>
            <w:r w:rsidRPr="00F74E38">
              <w:rPr>
                <w:rFonts w:cstheme="minorHAnsi"/>
                <w:sz w:val="18"/>
                <w:szCs w:val="18"/>
              </w:rPr>
              <w:t xml:space="preserve">, to which the main </w:t>
            </w:r>
            <w:proofErr w:type="spellStart"/>
            <w:r w:rsidRPr="00F74E38">
              <w:rPr>
                <w:rFonts w:cstheme="minorHAnsi"/>
                <w:sz w:val="18"/>
                <w:szCs w:val="18"/>
              </w:rPr>
              <w:t>organisation</w:t>
            </w:r>
            <w:proofErr w:type="spellEnd"/>
            <w:r w:rsidRPr="00F74E38">
              <w:rPr>
                <w:rFonts w:cstheme="minorHAnsi"/>
                <w:sz w:val="18"/>
                <w:szCs w:val="18"/>
              </w:rPr>
              <w:t xml:space="preserve"> of small and medium-sized enterprises (CEPYME) and the main </w:t>
            </w:r>
            <w:proofErr w:type="spellStart"/>
            <w:r w:rsidRPr="00F74E38">
              <w:rPr>
                <w:rFonts w:cstheme="minorHAnsi"/>
                <w:sz w:val="18"/>
                <w:szCs w:val="18"/>
              </w:rPr>
              <w:t>organisation</w:t>
            </w:r>
            <w:proofErr w:type="spellEnd"/>
            <w:r w:rsidRPr="00F74E38">
              <w:rPr>
                <w:rFonts w:cstheme="minorHAnsi"/>
                <w:sz w:val="18"/>
                <w:szCs w:val="18"/>
              </w:rPr>
              <w:t xml:space="preserve"> of self-employed workers (ATA) are associated.</w:t>
            </w:r>
          </w:p>
        </w:tc>
      </w:tr>
      <w:tr w:rsidR="00246D11" w:rsidRPr="00CE0380" w14:paraId="3896F3E3" w14:textId="77777777" w:rsidTr="006A1C57">
        <w:tc>
          <w:tcPr>
            <w:tcW w:w="481" w:type="dxa"/>
            <w:vAlign w:val="center"/>
          </w:tcPr>
          <w:p w14:paraId="4C131531" w14:textId="77777777" w:rsidR="00BD6658" w:rsidRPr="00CE0380" w:rsidRDefault="00BD6658" w:rsidP="00CE0380">
            <w:pPr>
              <w:rPr>
                <w:rFonts w:cstheme="minorHAnsi"/>
                <w:b/>
                <w:sz w:val="18"/>
                <w:szCs w:val="18"/>
              </w:rPr>
            </w:pPr>
            <w:r w:rsidRPr="00CE0380">
              <w:rPr>
                <w:rFonts w:cstheme="minorHAnsi"/>
                <w:b/>
                <w:sz w:val="18"/>
                <w:szCs w:val="18"/>
              </w:rPr>
              <w:t>2</w:t>
            </w:r>
          </w:p>
        </w:tc>
        <w:tc>
          <w:tcPr>
            <w:tcW w:w="2157" w:type="dxa"/>
            <w:vAlign w:val="center"/>
          </w:tcPr>
          <w:p w14:paraId="1320E3F4" w14:textId="77777777" w:rsidR="00BD6658" w:rsidRDefault="00BD6658" w:rsidP="00CE0380">
            <w:pPr>
              <w:rPr>
                <w:rFonts w:cstheme="minorHAnsi"/>
                <w:b/>
                <w:sz w:val="18"/>
                <w:szCs w:val="18"/>
              </w:rPr>
            </w:pPr>
            <w:r w:rsidRPr="00CE0380">
              <w:rPr>
                <w:rFonts w:cstheme="minorHAnsi"/>
                <w:b/>
                <w:sz w:val="18"/>
                <w:szCs w:val="18"/>
              </w:rPr>
              <w:t>State or social p</w:t>
            </w:r>
            <w:r w:rsidR="00940759">
              <w:rPr>
                <w:rFonts w:cstheme="minorHAnsi"/>
                <w:b/>
                <w:sz w:val="18"/>
                <w:szCs w:val="18"/>
              </w:rPr>
              <w:t>artners – degree of voluntarism</w:t>
            </w:r>
          </w:p>
          <w:p w14:paraId="6FD5B160" w14:textId="77777777" w:rsidR="001E5636" w:rsidRPr="00CE0380" w:rsidRDefault="001E5636" w:rsidP="00CE0380">
            <w:pPr>
              <w:rPr>
                <w:rFonts w:cstheme="minorHAnsi"/>
                <w:b/>
                <w:sz w:val="18"/>
                <w:szCs w:val="18"/>
              </w:rPr>
            </w:pPr>
            <w:r>
              <w:rPr>
                <w:rFonts w:cstheme="minorHAnsi"/>
                <w:b/>
                <w:sz w:val="18"/>
                <w:szCs w:val="18"/>
              </w:rPr>
              <w:t>(partly overlapping with Q5 and Q6)</w:t>
            </w:r>
          </w:p>
        </w:tc>
        <w:tc>
          <w:tcPr>
            <w:tcW w:w="1854" w:type="dxa"/>
          </w:tcPr>
          <w:p w14:paraId="74029061" w14:textId="5E74C9D4" w:rsidR="00BD6658" w:rsidRPr="00CE0380" w:rsidRDefault="00BD6658" w:rsidP="00CE0380">
            <w:pPr>
              <w:rPr>
                <w:rFonts w:cstheme="minorHAnsi"/>
                <w:sz w:val="18"/>
                <w:szCs w:val="18"/>
              </w:rPr>
            </w:pPr>
          </w:p>
        </w:tc>
        <w:tc>
          <w:tcPr>
            <w:tcW w:w="1492" w:type="dxa"/>
          </w:tcPr>
          <w:p w14:paraId="2169D7A5" w14:textId="77777777" w:rsidR="00BD6658" w:rsidRPr="00CE0380" w:rsidRDefault="00BD6658" w:rsidP="00CE0380">
            <w:pPr>
              <w:rPr>
                <w:rFonts w:cstheme="minorHAnsi"/>
                <w:sz w:val="18"/>
                <w:szCs w:val="18"/>
              </w:rPr>
            </w:pPr>
          </w:p>
        </w:tc>
        <w:tc>
          <w:tcPr>
            <w:tcW w:w="2135" w:type="dxa"/>
          </w:tcPr>
          <w:p w14:paraId="748298E6" w14:textId="416FA341" w:rsidR="00BD6658" w:rsidRPr="00CE0380" w:rsidRDefault="00BD6658" w:rsidP="00940759">
            <w:pPr>
              <w:rPr>
                <w:rFonts w:cstheme="minorHAnsi"/>
                <w:sz w:val="18"/>
                <w:szCs w:val="18"/>
              </w:rPr>
            </w:pPr>
          </w:p>
        </w:tc>
        <w:tc>
          <w:tcPr>
            <w:tcW w:w="1448" w:type="dxa"/>
          </w:tcPr>
          <w:p w14:paraId="5130A617" w14:textId="77777777" w:rsidR="00BD6658" w:rsidRPr="00CE0380" w:rsidRDefault="00BD6658" w:rsidP="00CE0380">
            <w:pPr>
              <w:rPr>
                <w:rFonts w:cstheme="minorHAnsi"/>
                <w:sz w:val="18"/>
                <w:szCs w:val="18"/>
              </w:rPr>
            </w:pPr>
          </w:p>
        </w:tc>
        <w:tc>
          <w:tcPr>
            <w:tcW w:w="1500" w:type="dxa"/>
          </w:tcPr>
          <w:p w14:paraId="5260A7FB" w14:textId="77777777" w:rsidR="00BD6658" w:rsidRPr="00CE0380" w:rsidRDefault="00BD6658" w:rsidP="00CE0380">
            <w:pPr>
              <w:rPr>
                <w:rFonts w:cstheme="minorHAnsi"/>
                <w:sz w:val="18"/>
                <w:szCs w:val="18"/>
              </w:rPr>
            </w:pPr>
          </w:p>
        </w:tc>
        <w:tc>
          <w:tcPr>
            <w:tcW w:w="1586" w:type="dxa"/>
          </w:tcPr>
          <w:p w14:paraId="61192A0A" w14:textId="72D6DB43" w:rsidR="00BD6658" w:rsidRPr="00EF6E0B" w:rsidRDefault="00BD6658" w:rsidP="00EF6E0B">
            <w:pPr>
              <w:rPr>
                <w:rFonts w:cstheme="minorHAnsi"/>
                <w:sz w:val="18"/>
                <w:szCs w:val="18"/>
              </w:rPr>
            </w:pPr>
          </w:p>
        </w:tc>
        <w:tc>
          <w:tcPr>
            <w:tcW w:w="1659" w:type="dxa"/>
          </w:tcPr>
          <w:p w14:paraId="1D6EA404" w14:textId="09977849" w:rsidR="00BD6658" w:rsidRPr="00CE0380" w:rsidRDefault="00BB2590" w:rsidP="00CE0380">
            <w:pPr>
              <w:rPr>
                <w:rFonts w:cstheme="minorHAnsi"/>
                <w:sz w:val="18"/>
                <w:szCs w:val="18"/>
              </w:rPr>
            </w:pPr>
            <w:r>
              <w:rPr>
                <w:rFonts w:cstheme="minorHAnsi"/>
                <w:sz w:val="18"/>
                <w:szCs w:val="18"/>
              </w:rPr>
              <w:t>I</w:t>
            </w:r>
            <w:r w:rsidRPr="00BB2590">
              <w:rPr>
                <w:rFonts w:cstheme="minorHAnsi"/>
                <w:sz w:val="18"/>
                <w:szCs w:val="18"/>
              </w:rPr>
              <w:t xml:space="preserve">ntense regulation by the State of all the institutions of the industrial relations system, both from an individual and collective </w:t>
            </w:r>
            <w:r w:rsidRPr="00BB2590">
              <w:rPr>
                <w:rFonts w:cstheme="minorHAnsi"/>
                <w:sz w:val="18"/>
                <w:szCs w:val="18"/>
              </w:rPr>
              <w:lastRenderedPageBreak/>
              <w:t>perspective. State legislation establishes basic working conditions</w:t>
            </w:r>
            <w:r>
              <w:rPr>
                <w:rFonts w:cstheme="minorHAnsi"/>
                <w:sz w:val="18"/>
                <w:szCs w:val="18"/>
              </w:rPr>
              <w:t xml:space="preserve">. </w:t>
            </w:r>
            <w:r w:rsidRPr="00BB2590">
              <w:rPr>
                <w:rFonts w:cstheme="minorHAnsi"/>
                <w:sz w:val="18"/>
                <w:szCs w:val="18"/>
              </w:rPr>
              <w:t>National legislation establishes the basic working conditions; collective bargaining plays a complementary role, adjusting to the needs of the sector, the territory, the professions and the companies.</w:t>
            </w:r>
          </w:p>
        </w:tc>
      </w:tr>
      <w:tr w:rsidR="00246D11" w:rsidRPr="00CE0380" w14:paraId="66EFCFBA" w14:textId="77777777" w:rsidTr="006A1C57">
        <w:tc>
          <w:tcPr>
            <w:tcW w:w="481" w:type="dxa"/>
            <w:vAlign w:val="center"/>
          </w:tcPr>
          <w:p w14:paraId="12171B6B" w14:textId="77777777" w:rsidR="00BD6658" w:rsidRPr="00CE0380" w:rsidRDefault="00BD6658" w:rsidP="00CE0380">
            <w:pPr>
              <w:rPr>
                <w:rFonts w:cstheme="minorHAnsi"/>
                <w:b/>
                <w:sz w:val="18"/>
                <w:szCs w:val="18"/>
              </w:rPr>
            </w:pPr>
            <w:r w:rsidRPr="00CE0380">
              <w:rPr>
                <w:rFonts w:cstheme="minorHAnsi"/>
                <w:b/>
                <w:sz w:val="18"/>
                <w:szCs w:val="18"/>
              </w:rPr>
              <w:lastRenderedPageBreak/>
              <w:t>3</w:t>
            </w:r>
          </w:p>
        </w:tc>
        <w:tc>
          <w:tcPr>
            <w:tcW w:w="2157" w:type="dxa"/>
            <w:vAlign w:val="center"/>
          </w:tcPr>
          <w:p w14:paraId="1B838415" w14:textId="77777777" w:rsidR="00BD6658" w:rsidRPr="00CE0380" w:rsidRDefault="00BD6658" w:rsidP="00CE0380">
            <w:pPr>
              <w:rPr>
                <w:rFonts w:cstheme="minorHAnsi"/>
                <w:b/>
                <w:sz w:val="18"/>
                <w:szCs w:val="18"/>
              </w:rPr>
            </w:pPr>
            <w:r w:rsidRPr="00CE0380">
              <w:rPr>
                <w:rFonts w:cstheme="minorHAnsi"/>
                <w:b/>
                <w:sz w:val="18"/>
                <w:szCs w:val="18"/>
              </w:rPr>
              <w:t>Form of employee representation</w:t>
            </w:r>
          </w:p>
        </w:tc>
        <w:tc>
          <w:tcPr>
            <w:tcW w:w="1854" w:type="dxa"/>
          </w:tcPr>
          <w:p w14:paraId="707846A3" w14:textId="37A693B3" w:rsidR="00BC20BB" w:rsidRPr="00CE0380" w:rsidRDefault="00BC20BB" w:rsidP="00806AA7">
            <w:pPr>
              <w:pStyle w:val="Listaconvietas"/>
              <w:numPr>
                <w:ilvl w:val="0"/>
                <w:numId w:val="0"/>
              </w:numPr>
              <w:ind w:left="360"/>
              <w:rPr>
                <w:rFonts w:cstheme="minorHAnsi"/>
                <w:sz w:val="18"/>
                <w:szCs w:val="18"/>
              </w:rPr>
            </w:pPr>
          </w:p>
        </w:tc>
        <w:tc>
          <w:tcPr>
            <w:tcW w:w="1492" w:type="dxa"/>
          </w:tcPr>
          <w:p w14:paraId="513AD86B" w14:textId="77777777" w:rsidR="00BD6658" w:rsidRPr="00CE0380" w:rsidRDefault="00BD6658" w:rsidP="00CE0380">
            <w:pPr>
              <w:rPr>
                <w:rFonts w:cstheme="minorHAnsi"/>
                <w:sz w:val="18"/>
                <w:szCs w:val="18"/>
              </w:rPr>
            </w:pPr>
          </w:p>
        </w:tc>
        <w:tc>
          <w:tcPr>
            <w:tcW w:w="2135" w:type="dxa"/>
          </w:tcPr>
          <w:p w14:paraId="2F49FE79" w14:textId="0C7D0555" w:rsidR="00BD6658" w:rsidRPr="00940759" w:rsidRDefault="00940759" w:rsidP="00806AA7">
            <w:pPr>
              <w:pStyle w:val="Prrafodelista"/>
              <w:rPr>
                <w:rFonts w:cstheme="minorHAnsi"/>
                <w:sz w:val="18"/>
                <w:szCs w:val="18"/>
              </w:rPr>
            </w:pPr>
            <w:r>
              <w:rPr>
                <w:rFonts w:cstheme="minorHAnsi"/>
                <w:sz w:val="18"/>
                <w:szCs w:val="18"/>
              </w:rPr>
              <w:t xml:space="preserve"> </w:t>
            </w:r>
          </w:p>
        </w:tc>
        <w:tc>
          <w:tcPr>
            <w:tcW w:w="1448" w:type="dxa"/>
          </w:tcPr>
          <w:p w14:paraId="44B4277F" w14:textId="77777777" w:rsidR="00BD6658" w:rsidRPr="00CE0380" w:rsidRDefault="00BD6658" w:rsidP="00CE0380">
            <w:pPr>
              <w:rPr>
                <w:rFonts w:cstheme="minorHAnsi"/>
                <w:sz w:val="18"/>
                <w:szCs w:val="18"/>
              </w:rPr>
            </w:pPr>
          </w:p>
        </w:tc>
        <w:tc>
          <w:tcPr>
            <w:tcW w:w="1500" w:type="dxa"/>
          </w:tcPr>
          <w:p w14:paraId="4E5C0E2D" w14:textId="77777777" w:rsidR="00BD6658" w:rsidRPr="00CE0380" w:rsidRDefault="00BD6658" w:rsidP="00CE0380">
            <w:pPr>
              <w:rPr>
                <w:rFonts w:cstheme="minorHAnsi"/>
                <w:sz w:val="18"/>
                <w:szCs w:val="18"/>
              </w:rPr>
            </w:pPr>
          </w:p>
        </w:tc>
        <w:tc>
          <w:tcPr>
            <w:tcW w:w="1586" w:type="dxa"/>
          </w:tcPr>
          <w:p w14:paraId="3C98A26C" w14:textId="33425669" w:rsidR="00BD6658" w:rsidRPr="00EF6E0B" w:rsidRDefault="00BD6658" w:rsidP="00EF6E0B">
            <w:pPr>
              <w:rPr>
                <w:rFonts w:cstheme="minorHAnsi"/>
                <w:sz w:val="18"/>
                <w:szCs w:val="18"/>
              </w:rPr>
            </w:pPr>
          </w:p>
        </w:tc>
        <w:tc>
          <w:tcPr>
            <w:tcW w:w="1659" w:type="dxa"/>
          </w:tcPr>
          <w:p w14:paraId="301E197C" w14:textId="77777777" w:rsidR="00BD6658" w:rsidRDefault="00BB2590" w:rsidP="00CE0380">
            <w:pPr>
              <w:rPr>
                <w:rFonts w:cstheme="minorHAnsi"/>
                <w:sz w:val="18"/>
                <w:szCs w:val="18"/>
              </w:rPr>
            </w:pPr>
            <w:r w:rsidRPr="00BB2590">
              <w:rPr>
                <w:rFonts w:cstheme="minorHAnsi"/>
                <w:sz w:val="18"/>
                <w:szCs w:val="18"/>
              </w:rPr>
              <w:t>Spain has a dual system of worker representation in the company (trade union representation and works councils).</w:t>
            </w:r>
            <w:r w:rsidR="00246D11">
              <w:rPr>
                <w:rFonts w:cstheme="minorHAnsi"/>
                <w:sz w:val="18"/>
                <w:szCs w:val="18"/>
              </w:rPr>
              <w:t xml:space="preserve"> </w:t>
            </w:r>
          </w:p>
          <w:p w14:paraId="46C2501C" w14:textId="77777777" w:rsidR="00246D11" w:rsidRDefault="00246D11" w:rsidP="00CE0380">
            <w:pPr>
              <w:rPr>
                <w:rFonts w:cstheme="minorHAnsi"/>
                <w:sz w:val="18"/>
                <w:szCs w:val="18"/>
              </w:rPr>
            </w:pPr>
          </w:p>
          <w:p w14:paraId="0C7B98D7" w14:textId="77777777" w:rsidR="00246D11" w:rsidRPr="00246D11" w:rsidRDefault="00246D11" w:rsidP="00246D11">
            <w:pPr>
              <w:rPr>
                <w:rFonts w:cstheme="minorHAnsi"/>
                <w:sz w:val="18"/>
                <w:szCs w:val="18"/>
              </w:rPr>
            </w:pPr>
            <w:r w:rsidRPr="00246D11">
              <w:rPr>
                <w:rFonts w:cstheme="minorHAnsi"/>
                <w:sz w:val="18"/>
                <w:szCs w:val="18"/>
              </w:rPr>
              <w:t xml:space="preserve">There is a certain distribution of space between the two representations, so that the representative activity in the company is assumed by the works councils, although controlled by the trade union </w:t>
            </w:r>
            <w:proofErr w:type="spellStart"/>
            <w:r w:rsidRPr="00246D11">
              <w:rPr>
                <w:rFonts w:cstheme="minorHAnsi"/>
                <w:sz w:val="18"/>
                <w:szCs w:val="18"/>
              </w:rPr>
              <w:lastRenderedPageBreak/>
              <w:t>organisations</w:t>
            </w:r>
            <w:proofErr w:type="spellEnd"/>
            <w:r w:rsidRPr="00246D11">
              <w:rPr>
                <w:rFonts w:cstheme="minorHAnsi"/>
                <w:sz w:val="18"/>
                <w:szCs w:val="18"/>
              </w:rPr>
              <w:t xml:space="preserve">, not only because the members of the works councils are strongly </w:t>
            </w:r>
            <w:proofErr w:type="spellStart"/>
            <w:r w:rsidRPr="00246D11">
              <w:rPr>
                <w:rFonts w:cstheme="minorHAnsi"/>
                <w:sz w:val="18"/>
                <w:szCs w:val="18"/>
              </w:rPr>
              <w:t>unionised</w:t>
            </w:r>
            <w:proofErr w:type="spellEnd"/>
            <w:r w:rsidRPr="00246D11">
              <w:rPr>
                <w:rFonts w:cstheme="minorHAnsi"/>
                <w:sz w:val="18"/>
                <w:szCs w:val="18"/>
              </w:rPr>
              <w:t xml:space="preserve">, but also because the representative activity in the supra-company spheres is carried out directly by the trade unions. </w:t>
            </w:r>
          </w:p>
          <w:p w14:paraId="469BED6A" w14:textId="5B3F8B7B" w:rsidR="00246D11" w:rsidRPr="00CE0380" w:rsidRDefault="002378C9" w:rsidP="00246D11">
            <w:pPr>
              <w:rPr>
                <w:rFonts w:cstheme="minorHAnsi"/>
                <w:sz w:val="18"/>
                <w:szCs w:val="18"/>
              </w:rPr>
            </w:pPr>
            <w:r w:rsidRPr="002378C9">
              <w:rPr>
                <w:rFonts w:cstheme="minorHAnsi"/>
                <w:sz w:val="18"/>
                <w:szCs w:val="18"/>
              </w:rPr>
              <w:t>Micro-enterprises lack worker representation</w:t>
            </w:r>
            <w:r>
              <w:rPr>
                <w:rFonts w:cstheme="minorHAnsi"/>
                <w:sz w:val="18"/>
                <w:szCs w:val="18"/>
              </w:rPr>
              <w:t>.</w:t>
            </w:r>
          </w:p>
        </w:tc>
      </w:tr>
      <w:tr w:rsidR="00246D11" w:rsidRPr="006B644A" w14:paraId="681C3111" w14:textId="77777777" w:rsidTr="006A1C57">
        <w:tc>
          <w:tcPr>
            <w:tcW w:w="481" w:type="dxa"/>
            <w:vMerge w:val="restart"/>
            <w:vAlign w:val="center"/>
          </w:tcPr>
          <w:p w14:paraId="1900F2B5" w14:textId="77777777" w:rsidR="00CE0380" w:rsidRPr="00CE0380" w:rsidRDefault="00CE0380" w:rsidP="00CE0380">
            <w:pPr>
              <w:rPr>
                <w:rFonts w:cstheme="minorHAnsi"/>
                <w:b/>
                <w:sz w:val="18"/>
                <w:szCs w:val="18"/>
              </w:rPr>
            </w:pPr>
            <w:r w:rsidRPr="00CE0380">
              <w:rPr>
                <w:rFonts w:cstheme="minorHAnsi"/>
                <w:b/>
                <w:sz w:val="18"/>
                <w:szCs w:val="18"/>
              </w:rPr>
              <w:lastRenderedPageBreak/>
              <w:t>4</w:t>
            </w:r>
          </w:p>
        </w:tc>
        <w:tc>
          <w:tcPr>
            <w:tcW w:w="2157" w:type="dxa"/>
            <w:vAlign w:val="center"/>
          </w:tcPr>
          <w:p w14:paraId="546BBEF4" w14:textId="77777777" w:rsidR="00CE0380" w:rsidRPr="00CE0380" w:rsidRDefault="00CE0380" w:rsidP="00CE0380">
            <w:pPr>
              <w:rPr>
                <w:rFonts w:cstheme="minorHAnsi"/>
                <w:b/>
                <w:sz w:val="18"/>
                <w:szCs w:val="18"/>
              </w:rPr>
            </w:pPr>
            <w:r w:rsidRPr="00CE0380">
              <w:rPr>
                <w:rFonts w:cstheme="minorHAnsi"/>
                <w:b/>
                <w:sz w:val="18"/>
                <w:szCs w:val="18"/>
              </w:rPr>
              <w:t>Union density</w:t>
            </w:r>
          </w:p>
          <w:p w14:paraId="44896F22" w14:textId="77777777" w:rsidR="00CE0380" w:rsidRPr="00CE0380" w:rsidRDefault="00CE0380" w:rsidP="00CE0380">
            <w:pPr>
              <w:rPr>
                <w:rFonts w:cstheme="minorHAnsi"/>
                <w:b/>
                <w:sz w:val="18"/>
                <w:szCs w:val="18"/>
              </w:rPr>
            </w:pPr>
          </w:p>
        </w:tc>
        <w:tc>
          <w:tcPr>
            <w:tcW w:w="1854" w:type="dxa"/>
          </w:tcPr>
          <w:p w14:paraId="2F9A3A6B" w14:textId="12F9CD65" w:rsidR="00CE0380" w:rsidRPr="00CE0380" w:rsidRDefault="00CE0380" w:rsidP="00CE0380">
            <w:pPr>
              <w:rPr>
                <w:rFonts w:cstheme="minorHAnsi"/>
                <w:sz w:val="18"/>
                <w:szCs w:val="18"/>
              </w:rPr>
            </w:pPr>
          </w:p>
        </w:tc>
        <w:tc>
          <w:tcPr>
            <w:tcW w:w="1492" w:type="dxa"/>
          </w:tcPr>
          <w:p w14:paraId="4ABFE25A" w14:textId="77777777" w:rsidR="00CE0380" w:rsidRPr="00CE0380" w:rsidRDefault="00CE0380" w:rsidP="00CE0380">
            <w:pPr>
              <w:rPr>
                <w:rFonts w:cstheme="minorHAnsi"/>
                <w:sz w:val="18"/>
                <w:szCs w:val="18"/>
              </w:rPr>
            </w:pPr>
          </w:p>
        </w:tc>
        <w:tc>
          <w:tcPr>
            <w:tcW w:w="2135" w:type="dxa"/>
          </w:tcPr>
          <w:p w14:paraId="0C5233E2" w14:textId="77777777" w:rsidR="00ED7120" w:rsidRPr="006B644A" w:rsidRDefault="00ED7120" w:rsidP="00CE0380">
            <w:pPr>
              <w:rPr>
                <w:rFonts w:cstheme="minorHAnsi"/>
                <w:sz w:val="18"/>
                <w:szCs w:val="18"/>
              </w:rPr>
            </w:pPr>
            <w:r w:rsidRPr="006B644A">
              <w:rPr>
                <w:rFonts w:cstheme="minorHAnsi"/>
                <w:sz w:val="18"/>
                <w:szCs w:val="18"/>
              </w:rPr>
              <w:t xml:space="preserve"> </w:t>
            </w:r>
          </w:p>
        </w:tc>
        <w:tc>
          <w:tcPr>
            <w:tcW w:w="1448" w:type="dxa"/>
          </w:tcPr>
          <w:p w14:paraId="489D216B" w14:textId="77777777" w:rsidR="00CE0380" w:rsidRPr="006B644A" w:rsidRDefault="00CE0380" w:rsidP="00CE0380">
            <w:pPr>
              <w:rPr>
                <w:rFonts w:cstheme="minorHAnsi"/>
                <w:sz w:val="18"/>
                <w:szCs w:val="18"/>
              </w:rPr>
            </w:pPr>
          </w:p>
        </w:tc>
        <w:tc>
          <w:tcPr>
            <w:tcW w:w="1500" w:type="dxa"/>
          </w:tcPr>
          <w:p w14:paraId="4F17E82D" w14:textId="77777777" w:rsidR="00CE0380" w:rsidRPr="006B644A" w:rsidRDefault="00CE0380" w:rsidP="00CE0380">
            <w:pPr>
              <w:rPr>
                <w:rFonts w:cstheme="minorHAnsi"/>
                <w:sz w:val="18"/>
                <w:szCs w:val="18"/>
              </w:rPr>
            </w:pPr>
          </w:p>
        </w:tc>
        <w:tc>
          <w:tcPr>
            <w:tcW w:w="1586" w:type="dxa"/>
          </w:tcPr>
          <w:p w14:paraId="6332EC2C" w14:textId="1CECFCAB" w:rsidR="00CE0380" w:rsidRPr="00EF6E0B" w:rsidRDefault="00CE0380" w:rsidP="00EF6E0B">
            <w:pPr>
              <w:rPr>
                <w:rFonts w:cstheme="minorHAnsi"/>
                <w:sz w:val="18"/>
                <w:szCs w:val="18"/>
              </w:rPr>
            </w:pPr>
          </w:p>
        </w:tc>
        <w:tc>
          <w:tcPr>
            <w:tcW w:w="1659" w:type="dxa"/>
          </w:tcPr>
          <w:p w14:paraId="612D8646" w14:textId="77777777" w:rsidR="00CE0380" w:rsidRDefault="00246D11" w:rsidP="00CE0380">
            <w:pPr>
              <w:rPr>
                <w:rFonts w:cstheme="minorHAnsi"/>
                <w:sz w:val="18"/>
                <w:szCs w:val="18"/>
              </w:rPr>
            </w:pPr>
            <w:r>
              <w:rPr>
                <w:rFonts w:cstheme="minorHAnsi"/>
                <w:sz w:val="18"/>
                <w:szCs w:val="18"/>
              </w:rPr>
              <w:t>2019:</w:t>
            </w:r>
          </w:p>
          <w:p w14:paraId="4FCB4FD6" w14:textId="77777777" w:rsidR="00246D11" w:rsidRDefault="00246D11" w:rsidP="00CE0380">
            <w:pPr>
              <w:rPr>
                <w:rFonts w:cstheme="minorHAnsi"/>
                <w:sz w:val="18"/>
                <w:szCs w:val="18"/>
              </w:rPr>
            </w:pPr>
          </w:p>
          <w:p w14:paraId="1778A8E6" w14:textId="5DE1AF85" w:rsidR="00246D11" w:rsidRDefault="00246D11" w:rsidP="00CE0380">
            <w:pPr>
              <w:rPr>
                <w:rFonts w:cstheme="minorHAnsi"/>
                <w:sz w:val="18"/>
                <w:szCs w:val="18"/>
              </w:rPr>
            </w:pPr>
            <w:r>
              <w:rPr>
                <w:rFonts w:cstheme="minorHAnsi"/>
                <w:sz w:val="18"/>
                <w:szCs w:val="18"/>
              </w:rPr>
              <w:t>CCOO: 976,910 members</w:t>
            </w:r>
          </w:p>
          <w:p w14:paraId="5ADC5B48" w14:textId="77777777" w:rsidR="00246D11" w:rsidRDefault="00246D11" w:rsidP="00CE0380">
            <w:pPr>
              <w:rPr>
                <w:rFonts w:cstheme="minorHAnsi"/>
                <w:sz w:val="18"/>
                <w:szCs w:val="18"/>
              </w:rPr>
            </w:pPr>
          </w:p>
          <w:p w14:paraId="197F3B18" w14:textId="77777777" w:rsidR="00246D11" w:rsidRDefault="00246D11" w:rsidP="00CE0380">
            <w:pPr>
              <w:rPr>
                <w:rFonts w:cstheme="minorHAnsi"/>
                <w:sz w:val="18"/>
                <w:szCs w:val="18"/>
              </w:rPr>
            </w:pPr>
            <w:r>
              <w:rPr>
                <w:rFonts w:cstheme="minorHAnsi"/>
                <w:sz w:val="18"/>
                <w:szCs w:val="18"/>
              </w:rPr>
              <w:t>UGT: 941,485 members</w:t>
            </w:r>
          </w:p>
          <w:p w14:paraId="5382C16C" w14:textId="77777777" w:rsidR="00246D11" w:rsidRDefault="00246D11" w:rsidP="00CE0380">
            <w:pPr>
              <w:rPr>
                <w:rFonts w:cstheme="minorHAnsi"/>
                <w:sz w:val="18"/>
                <w:szCs w:val="18"/>
              </w:rPr>
            </w:pPr>
          </w:p>
          <w:p w14:paraId="57EBA9F5" w14:textId="77777777" w:rsidR="00246D11" w:rsidRPr="00246D11" w:rsidRDefault="00246D11" w:rsidP="00246D11">
            <w:pPr>
              <w:rPr>
                <w:rFonts w:cstheme="minorHAnsi"/>
                <w:sz w:val="18"/>
                <w:szCs w:val="18"/>
              </w:rPr>
            </w:pPr>
            <w:r w:rsidRPr="00246D11">
              <w:rPr>
                <w:rFonts w:cstheme="minorHAnsi"/>
                <w:sz w:val="18"/>
                <w:szCs w:val="18"/>
              </w:rPr>
              <w:t xml:space="preserve">Trade union density data have a relative impact on the functioning of the industrial relations system. The role of trade union </w:t>
            </w:r>
            <w:proofErr w:type="spellStart"/>
            <w:r w:rsidRPr="00246D11">
              <w:rPr>
                <w:rFonts w:cstheme="minorHAnsi"/>
                <w:sz w:val="18"/>
                <w:szCs w:val="18"/>
              </w:rPr>
              <w:t>organisations</w:t>
            </w:r>
            <w:proofErr w:type="spellEnd"/>
            <w:r w:rsidRPr="00246D11">
              <w:rPr>
                <w:rFonts w:cstheme="minorHAnsi"/>
                <w:sz w:val="18"/>
                <w:szCs w:val="18"/>
              </w:rPr>
              <w:t xml:space="preserve"> depends on the results obtained in works council elections. This determines their percentage of </w:t>
            </w:r>
            <w:r w:rsidRPr="00246D11">
              <w:rPr>
                <w:rFonts w:cstheme="minorHAnsi"/>
                <w:sz w:val="18"/>
                <w:szCs w:val="18"/>
              </w:rPr>
              <w:lastRenderedPageBreak/>
              <w:t>representativeness, which serves as a yardstick for their trade union activity as a whole, especially in terms of their role in collective bargaining and social dialogue.</w:t>
            </w:r>
          </w:p>
          <w:p w14:paraId="06E40941" w14:textId="77777777" w:rsidR="00246D11" w:rsidRPr="00246D11" w:rsidRDefault="00246D11" w:rsidP="00246D11">
            <w:pPr>
              <w:rPr>
                <w:rFonts w:cstheme="minorHAnsi"/>
                <w:sz w:val="18"/>
                <w:szCs w:val="18"/>
              </w:rPr>
            </w:pPr>
          </w:p>
          <w:p w14:paraId="339B4E6B" w14:textId="40B62D26" w:rsidR="00246D11" w:rsidRPr="006B644A" w:rsidRDefault="00246D11" w:rsidP="00246D11">
            <w:pPr>
              <w:rPr>
                <w:rFonts w:cstheme="minorHAnsi"/>
                <w:sz w:val="18"/>
                <w:szCs w:val="18"/>
              </w:rPr>
            </w:pPr>
          </w:p>
        </w:tc>
      </w:tr>
      <w:tr w:rsidR="00246D11" w:rsidRPr="00CE0380" w14:paraId="2A419E00" w14:textId="77777777" w:rsidTr="006A1C57">
        <w:tc>
          <w:tcPr>
            <w:tcW w:w="481" w:type="dxa"/>
            <w:vMerge/>
          </w:tcPr>
          <w:p w14:paraId="1C933CFC" w14:textId="77777777" w:rsidR="00CE0380" w:rsidRPr="006B644A" w:rsidRDefault="00CE0380" w:rsidP="00CE0380">
            <w:pPr>
              <w:rPr>
                <w:rFonts w:cstheme="minorHAnsi"/>
                <w:sz w:val="18"/>
                <w:szCs w:val="18"/>
              </w:rPr>
            </w:pPr>
          </w:p>
        </w:tc>
        <w:tc>
          <w:tcPr>
            <w:tcW w:w="2157" w:type="dxa"/>
            <w:vAlign w:val="center"/>
          </w:tcPr>
          <w:p w14:paraId="579740EC" w14:textId="77777777" w:rsidR="00CE0380" w:rsidRPr="00CE0380" w:rsidRDefault="00CE0380" w:rsidP="00CE0380">
            <w:pPr>
              <w:rPr>
                <w:rFonts w:cstheme="minorHAnsi"/>
                <w:b/>
                <w:sz w:val="18"/>
                <w:szCs w:val="18"/>
              </w:rPr>
            </w:pPr>
            <w:r w:rsidRPr="00CE0380">
              <w:rPr>
                <w:rFonts w:cstheme="minorHAnsi"/>
                <w:b/>
                <w:sz w:val="18"/>
                <w:szCs w:val="18"/>
              </w:rPr>
              <w:t xml:space="preserve">Employers’ organisation </w:t>
            </w:r>
          </w:p>
        </w:tc>
        <w:tc>
          <w:tcPr>
            <w:tcW w:w="1854" w:type="dxa"/>
          </w:tcPr>
          <w:p w14:paraId="6217750A" w14:textId="4AA5F0D4" w:rsidR="00CE0380" w:rsidRPr="00CE0380" w:rsidRDefault="00CE0380" w:rsidP="00CE0380">
            <w:pPr>
              <w:rPr>
                <w:rFonts w:cstheme="minorHAnsi"/>
                <w:sz w:val="18"/>
                <w:szCs w:val="18"/>
              </w:rPr>
            </w:pPr>
          </w:p>
        </w:tc>
        <w:tc>
          <w:tcPr>
            <w:tcW w:w="1492" w:type="dxa"/>
          </w:tcPr>
          <w:p w14:paraId="38F1E244" w14:textId="77777777" w:rsidR="00CE0380" w:rsidRPr="00CE0380" w:rsidRDefault="00CE0380" w:rsidP="00CE0380">
            <w:pPr>
              <w:rPr>
                <w:rFonts w:cstheme="minorHAnsi"/>
                <w:sz w:val="18"/>
                <w:szCs w:val="18"/>
              </w:rPr>
            </w:pPr>
          </w:p>
        </w:tc>
        <w:tc>
          <w:tcPr>
            <w:tcW w:w="2135" w:type="dxa"/>
          </w:tcPr>
          <w:p w14:paraId="3282182E" w14:textId="77777777" w:rsidR="00CE0380" w:rsidRPr="00CE0380" w:rsidRDefault="00CE0380" w:rsidP="00CE0380">
            <w:pPr>
              <w:rPr>
                <w:rFonts w:cstheme="minorHAnsi"/>
                <w:sz w:val="18"/>
                <w:szCs w:val="18"/>
              </w:rPr>
            </w:pPr>
          </w:p>
        </w:tc>
        <w:tc>
          <w:tcPr>
            <w:tcW w:w="1448" w:type="dxa"/>
          </w:tcPr>
          <w:p w14:paraId="43E66F82" w14:textId="77777777" w:rsidR="00CE0380" w:rsidRPr="00CE0380" w:rsidRDefault="00CE0380" w:rsidP="00CE0380">
            <w:pPr>
              <w:rPr>
                <w:rFonts w:cstheme="minorHAnsi"/>
                <w:sz w:val="18"/>
                <w:szCs w:val="18"/>
              </w:rPr>
            </w:pPr>
          </w:p>
        </w:tc>
        <w:tc>
          <w:tcPr>
            <w:tcW w:w="1500" w:type="dxa"/>
          </w:tcPr>
          <w:p w14:paraId="7A509D0C" w14:textId="77777777" w:rsidR="00CE0380" w:rsidRPr="00CE0380" w:rsidRDefault="00CE0380" w:rsidP="00CE0380">
            <w:pPr>
              <w:rPr>
                <w:rFonts w:cstheme="minorHAnsi"/>
                <w:sz w:val="18"/>
                <w:szCs w:val="18"/>
              </w:rPr>
            </w:pPr>
          </w:p>
        </w:tc>
        <w:tc>
          <w:tcPr>
            <w:tcW w:w="1586" w:type="dxa"/>
          </w:tcPr>
          <w:p w14:paraId="01A5D8DD" w14:textId="77777777" w:rsidR="00CE0380" w:rsidRPr="00EF6E0B" w:rsidRDefault="00CE0380" w:rsidP="00EF6E0B">
            <w:pPr>
              <w:rPr>
                <w:rFonts w:cstheme="minorHAnsi"/>
                <w:sz w:val="18"/>
                <w:szCs w:val="18"/>
              </w:rPr>
            </w:pPr>
          </w:p>
        </w:tc>
        <w:tc>
          <w:tcPr>
            <w:tcW w:w="1659" w:type="dxa"/>
          </w:tcPr>
          <w:p w14:paraId="527D415E" w14:textId="09A59C44" w:rsidR="00CE0380" w:rsidRPr="00CE0380" w:rsidRDefault="009E2076" w:rsidP="00CE0380">
            <w:pPr>
              <w:rPr>
                <w:rFonts w:cstheme="minorHAnsi"/>
                <w:sz w:val="18"/>
                <w:szCs w:val="18"/>
              </w:rPr>
            </w:pPr>
            <w:r w:rsidRPr="009E2076">
              <w:rPr>
                <w:rFonts w:cstheme="minorHAnsi"/>
                <w:sz w:val="18"/>
                <w:szCs w:val="18"/>
              </w:rPr>
              <w:t>There is no reliable data on membership rates among employers’ organizations. The organizational unity of the business associations within the CEOE means that it is considered fully representative for all purposes.</w:t>
            </w:r>
          </w:p>
        </w:tc>
      </w:tr>
      <w:tr w:rsidR="00246D11" w:rsidRPr="00CE0380" w14:paraId="6798F79C" w14:textId="77777777" w:rsidTr="006A1C57">
        <w:tc>
          <w:tcPr>
            <w:tcW w:w="481" w:type="dxa"/>
            <w:vMerge/>
          </w:tcPr>
          <w:p w14:paraId="325725B1" w14:textId="77777777" w:rsidR="00CE0380" w:rsidRPr="00CE0380" w:rsidRDefault="00CE0380" w:rsidP="00CE0380">
            <w:pPr>
              <w:rPr>
                <w:rFonts w:cstheme="minorHAnsi"/>
                <w:sz w:val="18"/>
                <w:szCs w:val="18"/>
              </w:rPr>
            </w:pPr>
          </w:p>
        </w:tc>
        <w:tc>
          <w:tcPr>
            <w:tcW w:w="2157" w:type="dxa"/>
            <w:vAlign w:val="center"/>
          </w:tcPr>
          <w:p w14:paraId="544DB9E9" w14:textId="77777777" w:rsidR="00CE0380" w:rsidRPr="00CE0380" w:rsidRDefault="00CE0380" w:rsidP="00CE0380">
            <w:pPr>
              <w:rPr>
                <w:rFonts w:cstheme="minorHAnsi"/>
                <w:b/>
                <w:sz w:val="18"/>
                <w:szCs w:val="18"/>
              </w:rPr>
            </w:pPr>
            <w:r w:rsidRPr="00CE0380">
              <w:rPr>
                <w:rFonts w:cstheme="minorHAnsi"/>
                <w:b/>
                <w:sz w:val="18"/>
                <w:szCs w:val="18"/>
              </w:rPr>
              <w:t>Collective bargaining coverage</w:t>
            </w:r>
          </w:p>
        </w:tc>
        <w:tc>
          <w:tcPr>
            <w:tcW w:w="1854" w:type="dxa"/>
          </w:tcPr>
          <w:p w14:paraId="59595272" w14:textId="5B14E482" w:rsidR="00CE0380" w:rsidRPr="00CE0380" w:rsidRDefault="00CE0380" w:rsidP="00CE0380">
            <w:pPr>
              <w:rPr>
                <w:rFonts w:cstheme="minorHAnsi"/>
                <w:sz w:val="18"/>
                <w:szCs w:val="18"/>
              </w:rPr>
            </w:pPr>
          </w:p>
        </w:tc>
        <w:tc>
          <w:tcPr>
            <w:tcW w:w="1492" w:type="dxa"/>
          </w:tcPr>
          <w:p w14:paraId="52BCBCB3" w14:textId="77777777" w:rsidR="00CE0380" w:rsidRPr="00CE0380" w:rsidRDefault="00CE0380" w:rsidP="00CE0380">
            <w:pPr>
              <w:rPr>
                <w:rFonts w:cstheme="minorHAnsi"/>
                <w:sz w:val="18"/>
                <w:szCs w:val="18"/>
              </w:rPr>
            </w:pPr>
          </w:p>
        </w:tc>
        <w:tc>
          <w:tcPr>
            <w:tcW w:w="2135" w:type="dxa"/>
          </w:tcPr>
          <w:p w14:paraId="38E10B33" w14:textId="4B8F33DB" w:rsidR="006B644A" w:rsidRPr="006B644A" w:rsidRDefault="006B644A" w:rsidP="002378C9">
            <w:pPr>
              <w:pStyle w:val="Prrafodelista"/>
              <w:rPr>
                <w:rFonts w:cstheme="minorHAnsi"/>
                <w:sz w:val="18"/>
                <w:szCs w:val="18"/>
              </w:rPr>
            </w:pPr>
          </w:p>
        </w:tc>
        <w:tc>
          <w:tcPr>
            <w:tcW w:w="1448" w:type="dxa"/>
          </w:tcPr>
          <w:p w14:paraId="2C7766E4" w14:textId="77777777" w:rsidR="00CE0380" w:rsidRPr="00CE0380" w:rsidRDefault="00CE0380" w:rsidP="00CE0380">
            <w:pPr>
              <w:rPr>
                <w:rFonts w:cstheme="minorHAnsi"/>
                <w:sz w:val="18"/>
                <w:szCs w:val="18"/>
              </w:rPr>
            </w:pPr>
          </w:p>
        </w:tc>
        <w:tc>
          <w:tcPr>
            <w:tcW w:w="1500" w:type="dxa"/>
          </w:tcPr>
          <w:p w14:paraId="7BB2F79D" w14:textId="77777777" w:rsidR="00CE0380" w:rsidRPr="00CE0380" w:rsidRDefault="00CE0380" w:rsidP="00CE0380">
            <w:pPr>
              <w:rPr>
                <w:rFonts w:cstheme="minorHAnsi"/>
                <w:sz w:val="18"/>
                <w:szCs w:val="18"/>
              </w:rPr>
            </w:pPr>
          </w:p>
        </w:tc>
        <w:tc>
          <w:tcPr>
            <w:tcW w:w="1586" w:type="dxa"/>
          </w:tcPr>
          <w:p w14:paraId="1BD24A7B" w14:textId="4FC53039" w:rsidR="00CE0380" w:rsidRPr="00EF6E0B" w:rsidRDefault="00CE0380" w:rsidP="00EF6E0B">
            <w:pPr>
              <w:rPr>
                <w:rFonts w:cstheme="minorHAnsi"/>
                <w:sz w:val="18"/>
                <w:szCs w:val="18"/>
              </w:rPr>
            </w:pPr>
          </w:p>
        </w:tc>
        <w:tc>
          <w:tcPr>
            <w:tcW w:w="1659" w:type="dxa"/>
          </w:tcPr>
          <w:p w14:paraId="6D8021AE" w14:textId="21BA20B8" w:rsidR="00CE0380" w:rsidRPr="00CE0380" w:rsidRDefault="009E2076" w:rsidP="00CE0380">
            <w:pPr>
              <w:rPr>
                <w:rFonts w:cstheme="minorHAnsi"/>
                <w:sz w:val="18"/>
                <w:szCs w:val="18"/>
              </w:rPr>
            </w:pPr>
            <w:r>
              <w:rPr>
                <w:rFonts w:cstheme="minorHAnsi"/>
                <w:sz w:val="18"/>
                <w:szCs w:val="18"/>
              </w:rPr>
              <w:t>T</w:t>
            </w:r>
            <w:r w:rsidRPr="009E2076">
              <w:rPr>
                <w:rFonts w:cstheme="minorHAnsi"/>
                <w:sz w:val="18"/>
                <w:szCs w:val="18"/>
              </w:rPr>
              <w:t>he most reliable estimate puts the coverage rate at over 90 %.</w:t>
            </w:r>
          </w:p>
        </w:tc>
      </w:tr>
      <w:tr w:rsidR="00246D11" w:rsidRPr="00CE0380" w14:paraId="2FE1F769" w14:textId="77777777" w:rsidTr="006A1C57">
        <w:tc>
          <w:tcPr>
            <w:tcW w:w="481" w:type="dxa"/>
            <w:vAlign w:val="center"/>
          </w:tcPr>
          <w:p w14:paraId="72600EFC" w14:textId="77777777" w:rsidR="00BD6658" w:rsidRPr="00CE0380" w:rsidRDefault="00CE0380" w:rsidP="00CE0380">
            <w:pPr>
              <w:rPr>
                <w:rFonts w:cstheme="minorHAnsi"/>
                <w:b/>
                <w:sz w:val="18"/>
                <w:szCs w:val="18"/>
              </w:rPr>
            </w:pPr>
            <w:r w:rsidRPr="00CE0380">
              <w:rPr>
                <w:rFonts w:cstheme="minorHAnsi"/>
                <w:b/>
                <w:sz w:val="18"/>
                <w:szCs w:val="18"/>
              </w:rPr>
              <w:t>5</w:t>
            </w:r>
          </w:p>
        </w:tc>
        <w:tc>
          <w:tcPr>
            <w:tcW w:w="2157" w:type="dxa"/>
            <w:vAlign w:val="center"/>
          </w:tcPr>
          <w:p w14:paraId="6A2BC84A" w14:textId="77777777" w:rsidR="00BD6658" w:rsidRPr="00CE0380" w:rsidRDefault="00CE0380" w:rsidP="00CE0380">
            <w:pPr>
              <w:rPr>
                <w:rFonts w:cstheme="minorHAnsi"/>
                <w:b/>
                <w:sz w:val="18"/>
                <w:szCs w:val="18"/>
              </w:rPr>
            </w:pPr>
            <w:r w:rsidRPr="00CE0380">
              <w:rPr>
                <w:rFonts w:cstheme="minorHAnsi"/>
                <w:b/>
                <w:sz w:val="18"/>
                <w:szCs w:val="18"/>
              </w:rPr>
              <w:t>Social partners strength vis-á-vis the state</w:t>
            </w:r>
          </w:p>
        </w:tc>
        <w:tc>
          <w:tcPr>
            <w:tcW w:w="1854" w:type="dxa"/>
          </w:tcPr>
          <w:p w14:paraId="2CAFAAB5" w14:textId="7BACF125" w:rsidR="00BD6658" w:rsidRPr="00CE0380" w:rsidRDefault="00BD6658" w:rsidP="00CE0380">
            <w:pPr>
              <w:rPr>
                <w:rFonts w:cstheme="minorHAnsi"/>
                <w:sz w:val="18"/>
                <w:szCs w:val="18"/>
              </w:rPr>
            </w:pPr>
          </w:p>
        </w:tc>
        <w:tc>
          <w:tcPr>
            <w:tcW w:w="1492" w:type="dxa"/>
          </w:tcPr>
          <w:p w14:paraId="6A34A3D7" w14:textId="77777777" w:rsidR="00BD6658" w:rsidRPr="00CE0380" w:rsidRDefault="00BD6658" w:rsidP="00CE0380">
            <w:pPr>
              <w:rPr>
                <w:rFonts w:cstheme="minorHAnsi"/>
                <w:sz w:val="18"/>
                <w:szCs w:val="18"/>
              </w:rPr>
            </w:pPr>
          </w:p>
        </w:tc>
        <w:tc>
          <w:tcPr>
            <w:tcW w:w="2135" w:type="dxa"/>
          </w:tcPr>
          <w:p w14:paraId="007E50E4" w14:textId="66D3D1B6" w:rsidR="00BD6658" w:rsidRPr="00CE0380" w:rsidRDefault="00BD6658" w:rsidP="00877051">
            <w:pPr>
              <w:rPr>
                <w:rFonts w:cstheme="minorHAnsi"/>
                <w:sz w:val="18"/>
                <w:szCs w:val="18"/>
              </w:rPr>
            </w:pPr>
          </w:p>
        </w:tc>
        <w:tc>
          <w:tcPr>
            <w:tcW w:w="1448" w:type="dxa"/>
          </w:tcPr>
          <w:p w14:paraId="08F1EFE2" w14:textId="77777777" w:rsidR="00BD6658" w:rsidRPr="00CE0380" w:rsidRDefault="00BD6658" w:rsidP="00CE0380">
            <w:pPr>
              <w:rPr>
                <w:rFonts w:cstheme="minorHAnsi"/>
                <w:sz w:val="18"/>
                <w:szCs w:val="18"/>
              </w:rPr>
            </w:pPr>
          </w:p>
        </w:tc>
        <w:tc>
          <w:tcPr>
            <w:tcW w:w="1500" w:type="dxa"/>
          </w:tcPr>
          <w:p w14:paraId="448C554B" w14:textId="77777777" w:rsidR="00BD6658" w:rsidRPr="00CE0380" w:rsidRDefault="00BD6658" w:rsidP="00CE0380">
            <w:pPr>
              <w:rPr>
                <w:rFonts w:cstheme="minorHAnsi"/>
                <w:sz w:val="18"/>
                <w:szCs w:val="18"/>
              </w:rPr>
            </w:pPr>
          </w:p>
        </w:tc>
        <w:tc>
          <w:tcPr>
            <w:tcW w:w="1586" w:type="dxa"/>
          </w:tcPr>
          <w:p w14:paraId="56B0F952" w14:textId="5AD7E87A" w:rsidR="00BD6658" w:rsidRPr="00EF6E0B" w:rsidRDefault="00BD6658" w:rsidP="00EF6E0B">
            <w:pPr>
              <w:rPr>
                <w:rFonts w:cstheme="minorHAnsi"/>
                <w:sz w:val="18"/>
                <w:szCs w:val="18"/>
              </w:rPr>
            </w:pPr>
          </w:p>
        </w:tc>
        <w:tc>
          <w:tcPr>
            <w:tcW w:w="1659" w:type="dxa"/>
          </w:tcPr>
          <w:p w14:paraId="042D826B" w14:textId="77777777" w:rsidR="00BD6658" w:rsidRDefault="009E2076" w:rsidP="00CE0380">
            <w:pPr>
              <w:rPr>
                <w:rFonts w:cstheme="minorHAnsi"/>
                <w:sz w:val="18"/>
                <w:szCs w:val="18"/>
              </w:rPr>
            </w:pPr>
            <w:r w:rsidRPr="009E2076">
              <w:rPr>
                <w:rFonts w:cstheme="minorHAnsi"/>
                <w:sz w:val="18"/>
                <w:szCs w:val="18"/>
              </w:rPr>
              <w:t>The dynamics of social dialogue on structural reforms were interrupted during the financial crisis from 2010 onwards.</w:t>
            </w:r>
            <w:r>
              <w:rPr>
                <w:rFonts w:cstheme="minorHAnsi"/>
                <w:sz w:val="18"/>
                <w:szCs w:val="18"/>
              </w:rPr>
              <w:t xml:space="preserve"> </w:t>
            </w:r>
          </w:p>
          <w:p w14:paraId="5E59A37E" w14:textId="78037AA7" w:rsidR="009E2076" w:rsidRPr="00CE0380" w:rsidRDefault="009E2076" w:rsidP="00CE0380">
            <w:pPr>
              <w:rPr>
                <w:rFonts w:cstheme="minorHAnsi"/>
                <w:sz w:val="18"/>
                <w:szCs w:val="18"/>
              </w:rPr>
            </w:pPr>
            <w:r w:rsidRPr="009E2076">
              <w:rPr>
                <w:rFonts w:cstheme="minorHAnsi"/>
                <w:sz w:val="18"/>
                <w:szCs w:val="18"/>
              </w:rPr>
              <w:lastRenderedPageBreak/>
              <w:t>In the run-up to the COVID-19 pandemic, social dialogue practices began to recover as a result of the change of Government.</w:t>
            </w:r>
          </w:p>
        </w:tc>
      </w:tr>
      <w:tr w:rsidR="00246D11" w:rsidRPr="00CE0380" w14:paraId="5DA7F7EF" w14:textId="77777777" w:rsidTr="006A1C57">
        <w:tc>
          <w:tcPr>
            <w:tcW w:w="481" w:type="dxa"/>
            <w:vAlign w:val="center"/>
          </w:tcPr>
          <w:p w14:paraId="0ADD3A6F" w14:textId="77777777" w:rsidR="00CE0380" w:rsidRPr="00CE0380" w:rsidRDefault="00CE0380" w:rsidP="00CE0380">
            <w:pPr>
              <w:rPr>
                <w:rFonts w:cstheme="minorHAnsi"/>
                <w:b/>
                <w:sz w:val="18"/>
                <w:szCs w:val="18"/>
              </w:rPr>
            </w:pPr>
            <w:r>
              <w:rPr>
                <w:rFonts w:cstheme="minorHAnsi"/>
                <w:b/>
                <w:sz w:val="18"/>
                <w:szCs w:val="18"/>
              </w:rPr>
              <w:lastRenderedPageBreak/>
              <w:t>6</w:t>
            </w:r>
          </w:p>
        </w:tc>
        <w:tc>
          <w:tcPr>
            <w:tcW w:w="2157" w:type="dxa"/>
            <w:vAlign w:val="center"/>
          </w:tcPr>
          <w:p w14:paraId="64176C25" w14:textId="77777777" w:rsidR="00CE0380" w:rsidRPr="00CE0380" w:rsidRDefault="001E5636" w:rsidP="00CE0380">
            <w:pPr>
              <w:rPr>
                <w:rFonts w:cstheme="minorHAnsi"/>
                <w:b/>
                <w:sz w:val="18"/>
                <w:szCs w:val="18"/>
              </w:rPr>
            </w:pPr>
            <w:r>
              <w:rPr>
                <w:rFonts w:cstheme="minorHAnsi"/>
                <w:b/>
                <w:sz w:val="18"/>
                <w:szCs w:val="18"/>
              </w:rPr>
              <w:t>The balance btw. Social partners and the state (overlapping with Q5 and Q2)</w:t>
            </w:r>
          </w:p>
        </w:tc>
        <w:tc>
          <w:tcPr>
            <w:tcW w:w="1854" w:type="dxa"/>
          </w:tcPr>
          <w:p w14:paraId="719CADA4" w14:textId="77777777" w:rsidR="00CE0380" w:rsidRPr="00CE0380" w:rsidRDefault="00CE0380" w:rsidP="00CE0380">
            <w:pPr>
              <w:rPr>
                <w:rFonts w:cstheme="minorHAnsi"/>
                <w:sz w:val="18"/>
                <w:szCs w:val="18"/>
              </w:rPr>
            </w:pPr>
          </w:p>
        </w:tc>
        <w:tc>
          <w:tcPr>
            <w:tcW w:w="1492" w:type="dxa"/>
          </w:tcPr>
          <w:p w14:paraId="22BE637E" w14:textId="77777777" w:rsidR="00CE0380" w:rsidRPr="00CE0380" w:rsidRDefault="00CE0380" w:rsidP="00CE0380">
            <w:pPr>
              <w:rPr>
                <w:rFonts w:cstheme="minorHAnsi"/>
                <w:sz w:val="18"/>
                <w:szCs w:val="18"/>
              </w:rPr>
            </w:pPr>
          </w:p>
        </w:tc>
        <w:tc>
          <w:tcPr>
            <w:tcW w:w="2135" w:type="dxa"/>
          </w:tcPr>
          <w:p w14:paraId="7CFB9670" w14:textId="77777777" w:rsidR="00CE0380" w:rsidRPr="00CE0380" w:rsidRDefault="00CE0380" w:rsidP="00CE0380">
            <w:pPr>
              <w:rPr>
                <w:rFonts w:cstheme="minorHAnsi"/>
                <w:sz w:val="18"/>
                <w:szCs w:val="18"/>
              </w:rPr>
            </w:pPr>
          </w:p>
        </w:tc>
        <w:tc>
          <w:tcPr>
            <w:tcW w:w="1448" w:type="dxa"/>
          </w:tcPr>
          <w:p w14:paraId="5AC73355" w14:textId="77777777" w:rsidR="00CE0380" w:rsidRPr="00CE0380" w:rsidRDefault="00CE0380" w:rsidP="00CE0380">
            <w:pPr>
              <w:rPr>
                <w:rFonts w:cstheme="minorHAnsi"/>
                <w:sz w:val="18"/>
                <w:szCs w:val="18"/>
              </w:rPr>
            </w:pPr>
          </w:p>
        </w:tc>
        <w:tc>
          <w:tcPr>
            <w:tcW w:w="1500" w:type="dxa"/>
          </w:tcPr>
          <w:p w14:paraId="27092C68" w14:textId="77777777" w:rsidR="00CE0380" w:rsidRPr="00CE0380" w:rsidRDefault="00CE0380" w:rsidP="00CE0380">
            <w:pPr>
              <w:rPr>
                <w:rFonts w:cstheme="minorHAnsi"/>
                <w:sz w:val="18"/>
                <w:szCs w:val="18"/>
              </w:rPr>
            </w:pPr>
          </w:p>
        </w:tc>
        <w:tc>
          <w:tcPr>
            <w:tcW w:w="1586" w:type="dxa"/>
          </w:tcPr>
          <w:p w14:paraId="25F9542B" w14:textId="28D6FF6E" w:rsidR="00CE0380" w:rsidRPr="00EF6E0B" w:rsidRDefault="00CE0380" w:rsidP="00EF6E0B">
            <w:pPr>
              <w:rPr>
                <w:rFonts w:cstheme="minorHAnsi"/>
                <w:sz w:val="18"/>
                <w:szCs w:val="18"/>
              </w:rPr>
            </w:pPr>
            <w:bookmarkStart w:id="0" w:name="_GoBack"/>
            <w:bookmarkEnd w:id="0"/>
          </w:p>
        </w:tc>
        <w:tc>
          <w:tcPr>
            <w:tcW w:w="1659" w:type="dxa"/>
          </w:tcPr>
          <w:p w14:paraId="691ECCE9" w14:textId="5F87347F" w:rsidR="00CE0380" w:rsidRPr="00CE0380" w:rsidRDefault="009E2076" w:rsidP="00CE0380">
            <w:pPr>
              <w:rPr>
                <w:rFonts w:cstheme="minorHAnsi"/>
                <w:sz w:val="18"/>
                <w:szCs w:val="18"/>
              </w:rPr>
            </w:pPr>
            <w:r w:rsidRPr="009E2076">
              <w:rPr>
                <w:rFonts w:cstheme="minorHAnsi"/>
                <w:sz w:val="18"/>
                <w:szCs w:val="18"/>
              </w:rPr>
              <w:t xml:space="preserve">The agreements on </w:t>
            </w:r>
            <w:proofErr w:type="spellStart"/>
            <w:r w:rsidRPr="009E2076">
              <w:rPr>
                <w:rFonts w:cstheme="minorHAnsi"/>
                <w:sz w:val="18"/>
                <w:szCs w:val="18"/>
              </w:rPr>
              <w:t>labour</w:t>
            </w:r>
            <w:proofErr w:type="spellEnd"/>
            <w:r w:rsidRPr="009E2076">
              <w:rPr>
                <w:rFonts w:cstheme="minorHAnsi"/>
                <w:sz w:val="18"/>
                <w:szCs w:val="18"/>
              </w:rPr>
              <w:t xml:space="preserve"> legislation and social security, frequent during the previous years, disappeared during the years of the financial crisis in which the Partido Popular Government imposed a reformist agenda, based on the idea of austerity, promoted by the institutions of the European Union, especially the European Central Bank. These reforms, together with the sharp rise in unemployment rates, led to a significant loss of trade union influence.</w:t>
            </w:r>
          </w:p>
        </w:tc>
      </w:tr>
      <w:tr w:rsidR="00246D11" w:rsidRPr="00CE0380" w14:paraId="02948507" w14:textId="77777777" w:rsidTr="006A1C57">
        <w:tc>
          <w:tcPr>
            <w:tcW w:w="481" w:type="dxa"/>
            <w:vAlign w:val="center"/>
          </w:tcPr>
          <w:p w14:paraId="0FDF7E3E" w14:textId="77777777" w:rsidR="00CE0380" w:rsidRPr="00CE0380" w:rsidRDefault="001E5636" w:rsidP="00CE0380">
            <w:pPr>
              <w:rPr>
                <w:rFonts w:cstheme="minorHAnsi"/>
                <w:b/>
                <w:sz w:val="18"/>
                <w:szCs w:val="18"/>
              </w:rPr>
            </w:pPr>
            <w:r>
              <w:rPr>
                <w:rFonts w:cstheme="minorHAnsi"/>
                <w:b/>
                <w:sz w:val="18"/>
                <w:szCs w:val="18"/>
              </w:rPr>
              <w:lastRenderedPageBreak/>
              <w:t>7</w:t>
            </w:r>
          </w:p>
        </w:tc>
        <w:tc>
          <w:tcPr>
            <w:tcW w:w="2157" w:type="dxa"/>
            <w:vAlign w:val="center"/>
          </w:tcPr>
          <w:p w14:paraId="0BFAD204" w14:textId="77777777" w:rsidR="00CE0380" w:rsidRPr="00CE0380" w:rsidRDefault="001E5636" w:rsidP="001E5636">
            <w:pPr>
              <w:rPr>
                <w:rFonts w:cstheme="minorHAnsi"/>
                <w:b/>
                <w:sz w:val="18"/>
                <w:szCs w:val="18"/>
              </w:rPr>
            </w:pPr>
            <w:r>
              <w:rPr>
                <w:rFonts w:cstheme="minorHAnsi"/>
                <w:b/>
                <w:sz w:val="18"/>
                <w:szCs w:val="18"/>
              </w:rPr>
              <w:t>Legislation vs. collective agreements in labour market regulation</w:t>
            </w:r>
          </w:p>
        </w:tc>
        <w:tc>
          <w:tcPr>
            <w:tcW w:w="1854" w:type="dxa"/>
          </w:tcPr>
          <w:p w14:paraId="30578D7D" w14:textId="34AC0FBA" w:rsidR="00CE0380" w:rsidRPr="00CE0380" w:rsidRDefault="00CE0380" w:rsidP="00786627">
            <w:pPr>
              <w:rPr>
                <w:rFonts w:cstheme="minorHAnsi"/>
                <w:sz w:val="18"/>
                <w:szCs w:val="18"/>
              </w:rPr>
            </w:pPr>
          </w:p>
        </w:tc>
        <w:tc>
          <w:tcPr>
            <w:tcW w:w="1492" w:type="dxa"/>
          </w:tcPr>
          <w:p w14:paraId="29DBCA6E" w14:textId="77777777" w:rsidR="00CE0380" w:rsidRPr="00CE0380" w:rsidRDefault="00CE0380" w:rsidP="00CE0380">
            <w:pPr>
              <w:rPr>
                <w:rFonts w:cstheme="minorHAnsi"/>
                <w:sz w:val="18"/>
                <w:szCs w:val="18"/>
              </w:rPr>
            </w:pPr>
          </w:p>
        </w:tc>
        <w:tc>
          <w:tcPr>
            <w:tcW w:w="2135" w:type="dxa"/>
          </w:tcPr>
          <w:p w14:paraId="6FF1A584" w14:textId="47E43301" w:rsidR="00CE0380" w:rsidRPr="00CE0380" w:rsidRDefault="00CE0380" w:rsidP="007820B0">
            <w:pPr>
              <w:rPr>
                <w:rFonts w:cstheme="minorHAnsi"/>
                <w:sz w:val="18"/>
                <w:szCs w:val="18"/>
              </w:rPr>
            </w:pPr>
          </w:p>
        </w:tc>
        <w:tc>
          <w:tcPr>
            <w:tcW w:w="1448" w:type="dxa"/>
          </w:tcPr>
          <w:p w14:paraId="2467A4B4" w14:textId="77777777" w:rsidR="00CE0380" w:rsidRPr="00CE0380" w:rsidRDefault="00CE0380" w:rsidP="00CE0380">
            <w:pPr>
              <w:rPr>
                <w:rFonts w:cstheme="minorHAnsi"/>
                <w:sz w:val="18"/>
                <w:szCs w:val="18"/>
              </w:rPr>
            </w:pPr>
          </w:p>
        </w:tc>
        <w:tc>
          <w:tcPr>
            <w:tcW w:w="1500" w:type="dxa"/>
          </w:tcPr>
          <w:p w14:paraId="372648A9" w14:textId="77777777" w:rsidR="00CE0380" w:rsidRPr="00CE0380" w:rsidRDefault="00CE0380" w:rsidP="00CE0380">
            <w:pPr>
              <w:rPr>
                <w:rFonts w:cstheme="minorHAnsi"/>
                <w:sz w:val="18"/>
                <w:szCs w:val="18"/>
              </w:rPr>
            </w:pPr>
          </w:p>
        </w:tc>
        <w:tc>
          <w:tcPr>
            <w:tcW w:w="1586" w:type="dxa"/>
          </w:tcPr>
          <w:p w14:paraId="52BE48DF" w14:textId="32169ECD" w:rsidR="00CE0380" w:rsidRPr="00EF6E0B" w:rsidRDefault="00CE0380" w:rsidP="00EF6E0B">
            <w:pPr>
              <w:rPr>
                <w:rFonts w:cstheme="minorHAnsi"/>
                <w:sz w:val="18"/>
                <w:szCs w:val="18"/>
              </w:rPr>
            </w:pPr>
          </w:p>
        </w:tc>
        <w:tc>
          <w:tcPr>
            <w:tcW w:w="1659" w:type="dxa"/>
          </w:tcPr>
          <w:p w14:paraId="68FE65CE" w14:textId="784515B1" w:rsidR="00CE0380" w:rsidRPr="00CE0380" w:rsidRDefault="009E2076" w:rsidP="00CE0380">
            <w:pPr>
              <w:rPr>
                <w:rFonts w:cstheme="minorHAnsi"/>
                <w:sz w:val="18"/>
                <w:szCs w:val="18"/>
              </w:rPr>
            </w:pPr>
            <w:r w:rsidRPr="009E2076">
              <w:rPr>
                <w:rFonts w:cstheme="minorHAnsi"/>
                <w:sz w:val="18"/>
                <w:szCs w:val="18"/>
              </w:rPr>
              <w:t>Collective bargaining, which is strongly encouraged by the public authorities, plays a complementary role in managing wage income policy and adapting legally established working conditions to the specific characteristics of sectors, companies, regions and occupations. Recently, collective bargaining and, more specifically, information and consultation procedures have been given important roles in corporate restructuring processes and, therefore, in the control of corporate flexibility policies.</w:t>
            </w:r>
          </w:p>
        </w:tc>
      </w:tr>
      <w:tr w:rsidR="00246D11" w:rsidRPr="00CE0380" w14:paraId="2A65BC76" w14:textId="77777777" w:rsidTr="006A1C57">
        <w:tc>
          <w:tcPr>
            <w:tcW w:w="481" w:type="dxa"/>
            <w:vAlign w:val="center"/>
          </w:tcPr>
          <w:p w14:paraId="16C01452" w14:textId="77777777" w:rsidR="00CE0380" w:rsidRPr="00CE0380" w:rsidRDefault="00B1269A" w:rsidP="00CE0380">
            <w:pPr>
              <w:rPr>
                <w:rFonts w:cstheme="minorHAnsi"/>
                <w:b/>
                <w:sz w:val="18"/>
                <w:szCs w:val="18"/>
              </w:rPr>
            </w:pPr>
            <w:r>
              <w:rPr>
                <w:rFonts w:cstheme="minorHAnsi"/>
                <w:b/>
                <w:sz w:val="18"/>
                <w:szCs w:val="18"/>
              </w:rPr>
              <w:t>8</w:t>
            </w:r>
          </w:p>
        </w:tc>
        <w:tc>
          <w:tcPr>
            <w:tcW w:w="2157" w:type="dxa"/>
            <w:vAlign w:val="center"/>
          </w:tcPr>
          <w:p w14:paraId="61D838CC" w14:textId="77777777" w:rsidR="00CE0380" w:rsidRPr="00CE0380" w:rsidRDefault="00B1269A" w:rsidP="00CE0380">
            <w:pPr>
              <w:rPr>
                <w:rFonts w:cstheme="minorHAnsi"/>
                <w:b/>
                <w:sz w:val="18"/>
                <w:szCs w:val="18"/>
              </w:rPr>
            </w:pPr>
            <w:r>
              <w:rPr>
                <w:rFonts w:cstheme="minorHAnsi"/>
                <w:b/>
                <w:sz w:val="18"/>
                <w:szCs w:val="18"/>
              </w:rPr>
              <w:t>Bargaining on sector, industry and/or company level</w:t>
            </w:r>
          </w:p>
        </w:tc>
        <w:tc>
          <w:tcPr>
            <w:tcW w:w="1854" w:type="dxa"/>
          </w:tcPr>
          <w:p w14:paraId="2CE8B9EB" w14:textId="77777777" w:rsidR="00CE0380" w:rsidRPr="00CE0380" w:rsidRDefault="00CE0380" w:rsidP="002378C9">
            <w:pPr>
              <w:rPr>
                <w:rFonts w:cstheme="minorHAnsi"/>
                <w:sz w:val="18"/>
                <w:szCs w:val="18"/>
              </w:rPr>
            </w:pPr>
          </w:p>
        </w:tc>
        <w:tc>
          <w:tcPr>
            <w:tcW w:w="1492" w:type="dxa"/>
          </w:tcPr>
          <w:p w14:paraId="77313772" w14:textId="77777777" w:rsidR="00CE0380" w:rsidRPr="00CE0380" w:rsidRDefault="00CE0380" w:rsidP="00CE0380">
            <w:pPr>
              <w:rPr>
                <w:rFonts w:cstheme="minorHAnsi"/>
                <w:sz w:val="18"/>
                <w:szCs w:val="18"/>
              </w:rPr>
            </w:pPr>
          </w:p>
        </w:tc>
        <w:tc>
          <w:tcPr>
            <w:tcW w:w="2135" w:type="dxa"/>
          </w:tcPr>
          <w:p w14:paraId="362910C4" w14:textId="0064D7E5" w:rsidR="00CE0380" w:rsidRPr="00CE0380" w:rsidRDefault="00CE0380" w:rsidP="004518F1">
            <w:pPr>
              <w:rPr>
                <w:rFonts w:cstheme="minorHAnsi"/>
                <w:sz w:val="18"/>
                <w:szCs w:val="18"/>
              </w:rPr>
            </w:pPr>
          </w:p>
        </w:tc>
        <w:tc>
          <w:tcPr>
            <w:tcW w:w="1448" w:type="dxa"/>
          </w:tcPr>
          <w:p w14:paraId="60750EE3" w14:textId="77777777" w:rsidR="00CE0380" w:rsidRPr="00CE0380" w:rsidRDefault="00CE0380" w:rsidP="00CE0380">
            <w:pPr>
              <w:rPr>
                <w:rFonts w:cstheme="minorHAnsi"/>
                <w:sz w:val="18"/>
                <w:szCs w:val="18"/>
              </w:rPr>
            </w:pPr>
          </w:p>
        </w:tc>
        <w:tc>
          <w:tcPr>
            <w:tcW w:w="1500" w:type="dxa"/>
          </w:tcPr>
          <w:p w14:paraId="05C8F296" w14:textId="77777777" w:rsidR="00CE0380" w:rsidRPr="00CE0380" w:rsidRDefault="00CE0380" w:rsidP="00CE0380">
            <w:pPr>
              <w:rPr>
                <w:rFonts w:cstheme="minorHAnsi"/>
                <w:sz w:val="18"/>
                <w:szCs w:val="18"/>
              </w:rPr>
            </w:pPr>
          </w:p>
        </w:tc>
        <w:tc>
          <w:tcPr>
            <w:tcW w:w="1586" w:type="dxa"/>
          </w:tcPr>
          <w:p w14:paraId="090F08FC" w14:textId="0408D61F" w:rsidR="00CE0380" w:rsidRPr="00EF6E0B" w:rsidRDefault="00CE0380" w:rsidP="00EF6E0B">
            <w:pPr>
              <w:rPr>
                <w:rFonts w:cstheme="minorHAnsi"/>
                <w:sz w:val="18"/>
                <w:szCs w:val="18"/>
              </w:rPr>
            </w:pPr>
          </w:p>
        </w:tc>
        <w:tc>
          <w:tcPr>
            <w:tcW w:w="1659" w:type="dxa"/>
          </w:tcPr>
          <w:p w14:paraId="3704145D" w14:textId="77777777" w:rsidR="00CE0380" w:rsidRDefault="009E2076" w:rsidP="00CE0380">
            <w:pPr>
              <w:rPr>
                <w:rFonts w:cstheme="minorHAnsi"/>
                <w:sz w:val="18"/>
                <w:szCs w:val="18"/>
              </w:rPr>
            </w:pPr>
            <w:r w:rsidRPr="009E2076">
              <w:rPr>
                <w:rFonts w:cstheme="minorHAnsi"/>
                <w:sz w:val="18"/>
                <w:szCs w:val="18"/>
              </w:rPr>
              <w:t xml:space="preserve">the social partners full freedom in the choice of bargaining levels. The most representative </w:t>
            </w:r>
            <w:r w:rsidRPr="009E2076">
              <w:rPr>
                <w:rFonts w:cstheme="minorHAnsi"/>
                <w:sz w:val="18"/>
                <w:szCs w:val="18"/>
              </w:rPr>
              <w:lastRenderedPageBreak/>
              <w:t xml:space="preserve">trade union and employers' </w:t>
            </w:r>
            <w:proofErr w:type="spellStart"/>
            <w:r w:rsidRPr="009E2076">
              <w:rPr>
                <w:rFonts w:cstheme="minorHAnsi"/>
                <w:sz w:val="18"/>
                <w:szCs w:val="18"/>
              </w:rPr>
              <w:t>organisations</w:t>
            </w:r>
            <w:proofErr w:type="spellEnd"/>
            <w:r w:rsidRPr="009E2076">
              <w:rPr>
                <w:rFonts w:cstheme="minorHAnsi"/>
                <w:sz w:val="18"/>
                <w:szCs w:val="18"/>
              </w:rPr>
              <w:t xml:space="preserve"> determine the structure of collective bargaining through inter-federal collective bargaining agreements.</w:t>
            </w:r>
          </w:p>
          <w:p w14:paraId="20D870A2" w14:textId="60C67C1F" w:rsidR="009E2076" w:rsidRPr="00CE0380" w:rsidRDefault="009E2076" w:rsidP="00CE0380">
            <w:pPr>
              <w:rPr>
                <w:rFonts w:cstheme="minorHAnsi"/>
                <w:sz w:val="18"/>
                <w:szCs w:val="18"/>
              </w:rPr>
            </w:pPr>
          </w:p>
        </w:tc>
      </w:tr>
      <w:tr w:rsidR="00246D11" w:rsidRPr="00CE0380" w14:paraId="0106CC46" w14:textId="77777777" w:rsidTr="006A1C57">
        <w:tc>
          <w:tcPr>
            <w:tcW w:w="481" w:type="dxa"/>
            <w:vAlign w:val="center"/>
          </w:tcPr>
          <w:p w14:paraId="1BFBCAE5" w14:textId="77777777" w:rsidR="00B1269A" w:rsidRDefault="00B1269A" w:rsidP="00CE0380">
            <w:pPr>
              <w:rPr>
                <w:rFonts w:cstheme="minorHAnsi"/>
                <w:b/>
                <w:sz w:val="18"/>
                <w:szCs w:val="18"/>
              </w:rPr>
            </w:pPr>
            <w:r>
              <w:rPr>
                <w:rFonts w:cstheme="minorHAnsi"/>
                <w:b/>
                <w:sz w:val="18"/>
                <w:szCs w:val="18"/>
              </w:rPr>
              <w:lastRenderedPageBreak/>
              <w:t>9</w:t>
            </w:r>
          </w:p>
        </w:tc>
        <w:tc>
          <w:tcPr>
            <w:tcW w:w="2157" w:type="dxa"/>
            <w:vAlign w:val="center"/>
          </w:tcPr>
          <w:p w14:paraId="25A3665F" w14:textId="77777777" w:rsidR="00B1269A" w:rsidRDefault="00B1269A" w:rsidP="00CE0380">
            <w:pPr>
              <w:rPr>
                <w:rFonts w:cstheme="minorHAnsi"/>
                <w:b/>
                <w:sz w:val="18"/>
                <w:szCs w:val="18"/>
              </w:rPr>
            </w:pPr>
            <w:r>
              <w:rPr>
                <w:rFonts w:cstheme="minorHAnsi"/>
                <w:b/>
                <w:sz w:val="18"/>
                <w:szCs w:val="18"/>
              </w:rPr>
              <w:t>Leading branches in the negotiations?</w:t>
            </w:r>
          </w:p>
        </w:tc>
        <w:tc>
          <w:tcPr>
            <w:tcW w:w="1854" w:type="dxa"/>
          </w:tcPr>
          <w:p w14:paraId="3D67C093" w14:textId="37BB2DFB" w:rsidR="00B1269A" w:rsidRDefault="00B1269A" w:rsidP="00B1269A">
            <w:pPr>
              <w:rPr>
                <w:rFonts w:cstheme="minorHAnsi"/>
                <w:sz w:val="18"/>
                <w:szCs w:val="18"/>
              </w:rPr>
            </w:pPr>
          </w:p>
        </w:tc>
        <w:tc>
          <w:tcPr>
            <w:tcW w:w="1492" w:type="dxa"/>
          </w:tcPr>
          <w:p w14:paraId="50539421" w14:textId="77777777" w:rsidR="00B1269A" w:rsidRPr="00CE0380" w:rsidRDefault="00B1269A" w:rsidP="00CE0380">
            <w:pPr>
              <w:rPr>
                <w:rFonts w:cstheme="minorHAnsi"/>
                <w:sz w:val="18"/>
                <w:szCs w:val="18"/>
              </w:rPr>
            </w:pPr>
          </w:p>
        </w:tc>
        <w:tc>
          <w:tcPr>
            <w:tcW w:w="2135" w:type="dxa"/>
          </w:tcPr>
          <w:p w14:paraId="31668FD4" w14:textId="22DFBC18" w:rsidR="00B1269A" w:rsidRPr="00CE0380" w:rsidRDefault="00B1269A" w:rsidP="00F56270">
            <w:pPr>
              <w:rPr>
                <w:rFonts w:cstheme="minorHAnsi"/>
                <w:sz w:val="18"/>
                <w:szCs w:val="18"/>
              </w:rPr>
            </w:pPr>
          </w:p>
        </w:tc>
        <w:tc>
          <w:tcPr>
            <w:tcW w:w="1448" w:type="dxa"/>
          </w:tcPr>
          <w:p w14:paraId="46A889B0" w14:textId="77777777" w:rsidR="00B1269A" w:rsidRPr="00CE0380" w:rsidRDefault="00B1269A" w:rsidP="00CE0380">
            <w:pPr>
              <w:rPr>
                <w:rFonts w:cstheme="minorHAnsi"/>
                <w:sz w:val="18"/>
                <w:szCs w:val="18"/>
              </w:rPr>
            </w:pPr>
          </w:p>
        </w:tc>
        <w:tc>
          <w:tcPr>
            <w:tcW w:w="1500" w:type="dxa"/>
          </w:tcPr>
          <w:p w14:paraId="4AB6FE54" w14:textId="77777777" w:rsidR="00B1269A" w:rsidRPr="00CE0380" w:rsidRDefault="00B1269A" w:rsidP="00CE0380">
            <w:pPr>
              <w:rPr>
                <w:rFonts w:cstheme="minorHAnsi"/>
                <w:sz w:val="18"/>
                <w:szCs w:val="18"/>
              </w:rPr>
            </w:pPr>
          </w:p>
        </w:tc>
        <w:tc>
          <w:tcPr>
            <w:tcW w:w="1586" w:type="dxa"/>
          </w:tcPr>
          <w:p w14:paraId="6947AABD" w14:textId="77777777" w:rsidR="00B1269A" w:rsidRPr="00EF6E0B" w:rsidRDefault="00B1269A" w:rsidP="002378C9">
            <w:pPr>
              <w:jc w:val="both"/>
              <w:rPr>
                <w:rFonts w:cstheme="minorHAnsi"/>
                <w:sz w:val="18"/>
                <w:szCs w:val="18"/>
              </w:rPr>
            </w:pPr>
          </w:p>
        </w:tc>
        <w:tc>
          <w:tcPr>
            <w:tcW w:w="1659" w:type="dxa"/>
          </w:tcPr>
          <w:p w14:paraId="283F404D" w14:textId="77777777" w:rsidR="00B1269A" w:rsidRDefault="009E2076" w:rsidP="00CE0380">
            <w:pPr>
              <w:rPr>
                <w:rFonts w:cstheme="minorHAnsi"/>
                <w:sz w:val="18"/>
                <w:szCs w:val="18"/>
              </w:rPr>
            </w:pPr>
            <w:proofErr w:type="spellStart"/>
            <w:r w:rsidRPr="009E2076">
              <w:rPr>
                <w:rFonts w:cstheme="minorHAnsi"/>
                <w:sz w:val="18"/>
                <w:szCs w:val="18"/>
              </w:rPr>
              <w:t>Interconfederal</w:t>
            </w:r>
            <w:proofErr w:type="spellEnd"/>
            <w:r w:rsidRPr="009E2076">
              <w:rPr>
                <w:rFonts w:cstheme="minorHAnsi"/>
                <w:sz w:val="18"/>
                <w:szCs w:val="18"/>
              </w:rPr>
              <w:t xml:space="preserve"> collective bargaining agreements assume the role of setting the guidelines for collective bargaining</w:t>
            </w:r>
            <w:r>
              <w:rPr>
                <w:rFonts w:cstheme="minorHAnsi"/>
                <w:sz w:val="18"/>
                <w:szCs w:val="18"/>
              </w:rPr>
              <w:t xml:space="preserve">. </w:t>
            </w:r>
          </w:p>
          <w:p w14:paraId="7D6E06C6" w14:textId="1BD86B00" w:rsidR="002E1DD3" w:rsidRPr="00CE0380" w:rsidRDefault="002E1DD3" w:rsidP="00CE0380">
            <w:pPr>
              <w:rPr>
                <w:rFonts w:cstheme="minorHAnsi"/>
                <w:sz w:val="18"/>
                <w:szCs w:val="18"/>
              </w:rPr>
            </w:pPr>
            <w:r w:rsidRPr="002E1DD3">
              <w:rPr>
                <w:rFonts w:cstheme="minorHAnsi"/>
                <w:sz w:val="18"/>
                <w:szCs w:val="18"/>
              </w:rPr>
              <w:t xml:space="preserve">There are some 5,000 collective agreements, which determine a collective bargaining structure with a high degree of </w:t>
            </w:r>
            <w:proofErr w:type="spellStart"/>
            <w:r w:rsidRPr="002E1DD3">
              <w:rPr>
                <w:rFonts w:cstheme="minorHAnsi"/>
                <w:sz w:val="18"/>
                <w:szCs w:val="18"/>
              </w:rPr>
              <w:t>decentralisation</w:t>
            </w:r>
            <w:proofErr w:type="spellEnd"/>
            <w:r w:rsidRPr="002E1DD3">
              <w:rPr>
                <w:rFonts w:cstheme="minorHAnsi"/>
                <w:sz w:val="18"/>
                <w:szCs w:val="18"/>
              </w:rPr>
              <w:t xml:space="preserve"> due to the high incidence of sectoral collective agreements at the provincial level.</w:t>
            </w:r>
          </w:p>
        </w:tc>
      </w:tr>
      <w:tr w:rsidR="00246D11" w:rsidRPr="00CE0380" w14:paraId="71A5281A" w14:textId="77777777" w:rsidTr="006A1C57">
        <w:tc>
          <w:tcPr>
            <w:tcW w:w="481" w:type="dxa"/>
            <w:vMerge w:val="restart"/>
            <w:vAlign w:val="center"/>
          </w:tcPr>
          <w:p w14:paraId="7CD75418" w14:textId="77777777" w:rsidR="00FA6F28" w:rsidRDefault="00FA6F28" w:rsidP="00CE0380">
            <w:pPr>
              <w:rPr>
                <w:rFonts w:cstheme="minorHAnsi"/>
                <w:b/>
                <w:sz w:val="18"/>
                <w:szCs w:val="18"/>
              </w:rPr>
            </w:pPr>
            <w:r>
              <w:rPr>
                <w:rFonts w:cstheme="minorHAnsi"/>
                <w:b/>
                <w:sz w:val="18"/>
                <w:szCs w:val="18"/>
              </w:rPr>
              <w:t>10.</w:t>
            </w:r>
          </w:p>
        </w:tc>
        <w:tc>
          <w:tcPr>
            <w:tcW w:w="2157" w:type="dxa"/>
            <w:vAlign w:val="center"/>
          </w:tcPr>
          <w:p w14:paraId="6BC22589" w14:textId="77777777" w:rsidR="00E609EB" w:rsidRDefault="00FA6F28" w:rsidP="00CE0380">
            <w:pPr>
              <w:rPr>
                <w:rFonts w:cstheme="minorHAnsi"/>
                <w:b/>
                <w:sz w:val="18"/>
                <w:szCs w:val="18"/>
              </w:rPr>
            </w:pPr>
            <w:r>
              <w:rPr>
                <w:rFonts w:cstheme="minorHAnsi"/>
                <w:b/>
                <w:sz w:val="18"/>
                <w:szCs w:val="18"/>
              </w:rPr>
              <w:t xml:space="preserve">Changes from </w:t>
            </w:r>
          </w:p>
          <w:p w14:paraId="1226F813" w14:textId="77777777" w:rsidR="00FA6F28" w:rsidRDefault="00FA6F28" w:rsidP="00CE0380">
            <w:pPr>
              <w:rPr>
                <w:rFonts w:cstheme="minorHAnsi"/>
                <w:b/>
                <w:sz w:val="18"/>
                <w:szCs w:val="18"/>
              </w:rPr>
            </w:pPr>
            <w:r>
              <w:rPr>
                <w:rFonts w:cstheme="minorHAnsi"/>
                <w:b/>
                <w:sz w:val="18"/>
                <w:szCs w:val="18"/>
              </w:rPr>
              <w:t>2010 to 2020</w:t>
            </w:r>
            <w:r w:rsidR="00E609EB">
              <w:rPr>
                <w:rFonts w:cstheme="minorHAnsi"/>
                <w:b/>
                <w:sz w:val="18"/>
                <w:szCs w:val="18"/>
              </w:rPr>
              <w:t>:</w:t>
            </w:r>
          </w:p>
          <w:p w14:paraId="7C07BBC1" w14:textId="77777777" w:rsidR="00FA6F28" w:rsidRPr="00FA6F28" w:rsidRDefault="00FA6F28" w:rsidP="00FA6F28">
            <w:pPr>
              <w:rPr>
                <w:rFonts w:cstheme="minorHAnsi"/>
                <w:b/>
                <w:sz w:val="18"/>
                <w:szCs w:val="18"/>
              </w:rPr>
            </w:pPr>
            <w:r w:rsidRPr="00FA6F28">
              <w:rPr>
                <w:rFonts w:cstheme="minorHAnsi"/>
                <w:b/>
                <w:sz w:val="18"/>
                <w:szCs w:val="18"/>
              </w:rPr>
              <w:t>(de)</w:t>
            </w:r>
            <w:proofErr w:type="spellStart"/>
            <w:r w:rsidRPr="00FA6F28">
              <w:rPr>
                <w:rFonts w:cstheme="minorHAnsi"/>
                <w:b/>
                <w:sz w:val="18"/>
                <w:szCs w:val="18"/>
              </w:rPr>
              <w:t>centralisation</w:t>
            </w:r>
            <w:proofErr w:type="spellEnd"/>
          </w:p>
          <w:p w14:paraId="4FBAC68F" w14:textId="77777777" w:rsidR="00FA6F28" w:rsidRPr="00FA6F28" w:rsidRDefault="00FA6F28" w:rsidP="00FA6F28">
            <w:pPr>
              <w:pStyle w:val="Prrafodelista"/>
              <w:rPr>
                <w:rFonts w:cstheme="minorHAnsi"/>
                <w:b/>
                <w:sz w:val="18"/>
                <w:szCs w:val="18"/>
              </w:rPr>
            </w:pPr>
          </w:p>
        </w:tc>
        <w:tc>
          <w:tcPr>
            <w:tcW w:w="1854" w:type="dxa"/>
          </w:tcPr>
          <w:p w14:paraId="4B604812" w14:textId="7C3FB8A3" w:rsidR="00FA6F28" w:rsidRPr="00FA6F28" w:rsidRDefault="00FA6F28" w:rsidP="00E609EB">
            <w:pPr>
              <w:rPr>
                <w:rFonts w:cstheme="minorHAnsi"/>
                <w:sz w:val="18"/>
                <w:szCs w:val="18"/>
              </w:rPr>
            </w:pPr>
          </w:p>
        </w:tc>
        <w:tc>
          <w:tcPr>
            <w:tcW w:w="1492" w:type="dxa"/>
          </w:tcPr>
          <w:p w14:paraId="47B9B880" w14:textId="77777777" w:rsidR="00FA6F28" w:rsidRPr="00CE0380" w:rsidRDefault="00FA6F28" w:rsidP="00CE0380">
            <w:pPr>
              <w:rPr>
                <w:rFonts w:cstheme="minorHAnsi"/>
                <w:sz w:val="18"/>
                <w:szCs w:val="18"/>
              </w:rPr>
            </w:pPr>
          </w:p>
        </w:tc>
        <w:tc>
          <w:tcPr>
            <w:tcW w:w="2135" w:type="dxa"/>
          </w:tcPr>
          <w:p w14:paraId="3AE7D7CC" w14:textId="339B2FD7" w:rsidR="00FA6F28" w:rsidRPr="00CE0380" w:rsidRDefault="00FA6F28" w:rsidP="00CE0380">
            <w:pPr>
              <w:rPr>
                <w:rFonts w:cstheme="minorHAnsi"/>
                <w:sz w:val="18"/>
                <w:szCs w:val="18"/>
              </w:rPr>
            </w:pPr>
          </w:p>
        </w:tc>
        <w:tc>
          <w:tcPr>
            <w:tcW w:w="1448" w:type="dxa"/>
          </w:tcPr>
          <w:p w14:paraId="6B4E8A05" w14:textId="77777777" w:rsidR="00FA6F28" w:rsidRPr="00CE0380" w:rsidRDefault="00FA6F28" w:rsidP="00CE0380">
            <w:pPr>
              <w:rPr>
                <w:rFonts w:cstheme="minorHAnsi"/>
                <w:sz w:val="18"/>
                <w:szCs w:val="18"/>
              </w:rPr>
            </w:pPr>
          </w:p>
        </w:tc>
        <w:tc>
          <w:tcPr>
            <w:tcW w:w="1500" w:type="dxa"/>
          </w:tcPr>
          <w:p w14:paraId="3F11C4A6" w14:textId="77777777" w:rsidR="00FA6F28" w:rsidRPr="00CE0380" w:rsidRDefault="00FA6F28" w:rsidP="00CE0380">
            <w:pPr>
              <w:rPr>
                <w:rFonts w:cstheme="minorHAnsi"/>
                <w:sz w:val="18"/>
                <w:szCs w:val="18"/>
              </w:rPr>
            </w:pPr>
          </w:p>
        </w:tc>
        <w:tc>
          <w:tcPr>
            <w:tcW w:w="1586" w:type="dxa"/>
          </w:tcPr>
          <w:p w14:paraId="27B1DE43" w14:textId="77777777" w:rsidR="00FA6F28" w:rsidRPr="00EF6E0B" w:rsidRDefault="00FA6F28" w:rsidP="002378C9">
            <w:pPr>
              <w:jc w:val="both"/>
              <w:rPr>
                <w:rFonts w:cstheme="minorHAnsi"/>
                <w:sz w:val="18"/>
                <w:szCs w:val="18"/>
              </w:rPr>
            </w:pPr>
          </w:p>
        </w:tc>
        <w:tc>
          <w:tcPr>
            <w:tcW w:w="1659" w:type="dxa"/>
          </w:tcPr>
          <w:p w14:paraId="6DA86E87" w14:textId="40BA3EDB" w:rsidR="00FA6F28" w:rsidRPr="00CE0380" w:rsidRDefault="009E2076" w:rsidP="00CE0380">
            <w:pPr>
              <w:rPr>
                <w:rFonts w:cstheme="minorHAnsi"/>
                <w:sz w:val="18"/>
                <w:szCs w:val="18"/>
              </w:rPr>
            </w:pPr>
            <w:r w:rsidRPr="009E2076">
              <w:rPr>
                <w:rFonts w:cstheme="minorHAnsi"/>
                <w:sz w:val="18"/>
                <w:szCs w:val="18"/>
              </w:rPr>
              <w:t xml:space="preserve">The 2012 labor law reform was intended to </w:t>
            </w:r>
            <w:r w:rsidRPr="009E2076">
              <w:rPr>
                <w:rFonts w:cstheme="minorHAnsi"/>
                <w:sz w:val="18"/>
                <w:szCs w:val="18"/>
              </w:rPr>
              <w:lastRenderedPageBreak/>
              <w:t>strengthen the weight of collective bargaining at the company level, although this has generally not been successful. After ten years in force, company-level collective bargaining agreements account for barely 8% of workers, while sectoral (provincial or national) collective bargaining accounts for around 90%.</w:t>
            </w:r>
          </w:p>
        </w:tc>
      </w:tr>
      <w:tr w:rsidR="00246D11" w:rsidRPr="00CE0380" w14:paraId="36C4FED3" w14:textId="77777777" w:rsidTr="006A1C57">
        <w:tc>
          <w:tcPr>
            <w:tcW w:w="481" w:type="dxa"/>
            <w:vMerge/>
            <w:vAlign w:val="center"/>
          </w:tcPr>
          <w:p w14:paraId="68005F69" w14:textId="77777777" w:rsidR="00FA6F28" w:rsidRDefault="00FA6F28" w:rsidP="00CE0380">
            <w:pPr>
              <w:rPr>
                <w:rFonts w:cstheme="minorHAnsi"/>
                <w:b/>
                <w:sz w:val="18"/>
                <w:szCs w:val="18"/>
              </w:rPr>
            </w:pPr>
          </w:p>
        </w:tc>
        <w:tc>
          <w:tcPr>
            <w:tcW w:w="2157" w:type="dxa"/>
            <w:vAlign w:val="center"/>
          </w:tcPr>
          <w:p w14:paraId="7159239F" w14:textId="77777777" w:rsidR="00E609EB" w:rsidRDefault="00E609EB" w:rsidP="00E609EB">
            <w:pPr>
              <w:rPr>
                <w:rFonts w:cstheme="minorHAnsi"/>
                <w:b/>
                <w:sz w:val="18"/>
                <w:szCs w:val="18"/>
              </w:rPr>
            </w:pPr>
            <w:r>
              <w:rPr>
                <w:rFonts w:cstheme="minorHAnsi"/>
                <w:b/>
                <w:sz w:val="18"/>
                <w:szCs w:val="18"/>
              </w:rPr>
              <w:t xml:space="preserve">Changes from </w:t>
            </w:r>
          </w:p>
          <w:p w14:paraId="03B87ADC" w14:textId="77777777" w:rsidR="00E609EB" w:rsidRDefault="00E609EB" w:rsidP="00E609EB">
            <w:pPr>
              <w:rPr>
                <w:rFonts w:cstheme="minorHAnsi"/>
                <w:b/>
                <w:sz w:val="18"/>
                <w:szCs w:val="18"/>
              </w:rPr>
            </w:pPr>
            <w:r>
              <w:rPr>
                <w:rFonts w:cstheme="minorHAnsi"/>
                <w:b/>
                <w:sz w:val="18"/>
                <w:szCs w:val="18"/>
              </w:rPr>
              <w:t>2010 to 2020:</w:t>
            </w:r>
          </w:p>
          <w:p w14:paraId="574DF335" w14:textId="77777777" w:rsidR="00FA6F28" w:rsidRPr="00FA6F28" w:rsidRDefault="00FA6F28" w:rsidP="00FA6F28">
            <w:pPr>
              <w:rPr>
                <w:rFonts w:cstheme="minorHAnsi"/>
                <w:b/>
                <w:sz w:val="18"/>
                <w:szCs w:val="18"/>
              </w:rPr>
            </w:pPr>
            <w:r w:rsidRPr="00FA6F28">
              <w:rPr>
                <w:rFonts w:cstheme="minorHAnsi"/>
                <w:b/>
                <w:sz w:val="18"/>
                <w:szCs w:val="18"/>
              </w:rPr>
              <w:t>Power balance state vs. social partners</w:t>
            </w:r>
          </w:p>
          <w:p w14:paraId="64781550" w14:textId="77777777" w:rsidR="00FA6F28" w:rsidRDefault="00FA6F28" w:rsidP="00CE0380">
            <w:pPr>
              <w:rPr>
                <w:rFonts w:cstheme="minorHAnsi"/>
                <w:b/>
                <w:sz w:val="18"/>
                <w:szCs w:val="18"/>
              </w:rPr>
            </w:pPr>
          </w:p>
        </w:tc>
        <w:tc>
          <w:tcPr>
            <w:tcW w:w="1854" w:type="dxa"/>
          </w:tcPr>
          <w:p w14:paraId="6DD68ED4" w14:textId="638710DD" w:rsidR="00FA6F28" w:rsidRDefault="00FA6F28" w:rsidP="00FA6F28">
            <w:pPr>
              <w:rPr>
                <w:rFonts w:cstheme="minorHAnsi"/>
                <w:sz w:val="18"/>
                <w:szCs w:val="18"/>
              </w:rPr>
            </w:pPr>
          </w:p>
        </w:tc>
        <w:tc>
          <w:tcPr>
            <w:tcW w:w="1492" w:type="dxa"/>
          </w:tcPr>
          <w:p w14:paraId="5B324304" w14:textId="77777777" w:rsidR="00FA6F28" w:rsidRPr="00CE0380" w:rsidRDefault="00FA6F28" w:rsidP="00CE0380">
            <w:pPr>
              <w:rPr>
                <w:rFonts w:cstheme="minorHAnsi"/>
                <w:sz w:val="18"/>
                <w:szCs w:val="18"/>
              </w:rPr>
            </w:pPr>
          </w:p>
        </w:tc>
        <w:tc>
          <w:tcPr>
            <w:tcW w:w="2135" w:type="dxa"/>
          </w:tcPr>
          <w:p w14:paraId="3241CECA" w14:textId="4F9ECC3F" w:rsidR="00FA6F28" w:rsidRPr="00CE0380" w:rsidRDefault="00FA6F28" w:rsidP="00405B7C">
            <w:pPr>
              <w:rPr>
                <w:rFonts w:cstheme="minorHAnsi"/>
                <w:sz w:val="18"/>
                <w:szCs w:val="18"/>
              </w:rPr>
            </w:pPr>
          </w:p>
        </w:tc>
        <w:tc>
          <w:tcPr>
            <w:tcW w:w="1448" w:type="dxa"/>
          </w:tcPr>
          <w:p w14:paraId="21A6E929" w14:textId="77777777" w:rsidR="00FA6F28" w:rsidRPr="00CE0380" w:rsidRDefault="00FA6F28" w:rsidP="00CE0380">
            <w:pPr>
              <w:rPr>
                <w:rFonts w:cstheme="minorHAnsi"/>
                <w:sz w:val="18"/>
                <w:szCs w:val="18"/>
              </w:rPr>
            </w:pPr>
          </w:p>
        </w:tc>
        <w:tc>
          <w:tcPr>
            <w:tcW w:w="1500" w:type="dxa"/>
          </w:tcPr>
          <w:p w14:paraId="1B4B9234" w14:textId="77777777" w:rsidR="00FA6F28" w:rsidRPr="00CE0380" w:rsidRDefault="00FA6F28" w:rsidP="00CE0380">
            <w:pPr>
              <w:rPr>
                <w:rFonts w:cstheme="minorHAnsi"/>
                <w:sz w:val="18"/>
                <w:szCs w:val="18"/>
              </w:rPr>
            </w:pPr>
          </w:p>
        </w:tc>
        <w:tc>
          <w:tcPr>
            <w:tcW w:w="1586" w:type="dxa"/>
          </w:tcPr>
          <w:p w14:paraId="3D34933B" w14:textId="77777777" w:rsidR="00FA6F28" w:rsidRPr="00EF6E0B" w:rsidRDefault="00FA6F28" w:rsidP="00EF6E0B">
            <w:pPr>
              <w:rPr>
                <w:rFonts w:cstheme="minorHAnsi"/>
                <w:sz w:val="18"/>
                <w:szCs w:val="18"/>
              </w:rPr>
            </w:pPr>
          </w:p>
        </w:tc>
        <w:tc>
          <w:tcPr>
            <w:tcW w:w="1659" w:type="dxa"/>
          </w:tcPr>
          <w:p w14:paraId="7154A40B" w14:textId="7E5EB097" w:rsidR="00FC7643" w:rsidRDefault="00FC7643" w:rsidP="00CE0380">
            <w:pPr>
              <w:rPr>
                <w:rFonts w:cstheme="minorHAnsi"/>
                <w:sz w:val="18"/>
                <w:szCs w:val="18"/>
              </w:rPr>
            </w:pPr>
            <w:r w:rsidRPr="00FC7643">
              <w:rPr>
                <w:rFonts w:cstheme="minorHAnsi"/>
                <w:sz w:val="18"/>
                <w:szCs w:val="18"/>
              </w:rPr>
              <w:t>Legal reforms introduced during the financial crisis, austerity policies, and rising unemployment led to a loss of bargaining power for trade unions.</w:t>
            </w:r>
          </w:p>
          <w:p w14:paraId="11A97E67" w14:textId="77777777" w:rsidR="00FC7643" w:rsidRDefault="00FC7643" w:rsidP="00CE0380">
            <w:pPr>
              <w:rPr>
                <w:rFonts w:cstheme="minorHAnsi"/>
                <w:sz w:val="18"/>
                <w:szCs w:val="18"/>
              </w:rPr>
            </w:pPr>
          </w:p>
          <w:p w14:paraId="25011D12" w14:textId="31ADBDBC" w:rsidR="006A1C57" w:rsidRPr="00CE0380" w:rsidRDefault="006A1C57" w:rsidP="00CE0380">
            <w:pPr>
              <w:rPr>
                <w:rFonts w:cstheme="minorHAnsi"/>
                <w:sz w:val="18"/>
                <w:szCs w:val="18"/>
              </w:rPr>
            </w:pPr>
            <w:r>
              <w:rPr>
                <w:rFonts w:cstheme="minorHAnsi"/>
                <w:sz w:val="18"/>
                <w:szCs w:val="18"/>
              </w:rPr>
              <w:t>T</w:t>
            </w:r>
            <w:r w:rsidRPr="006A1C57">
              <w:rPr>
                <w:rFonts w:cstheme="minorHAnsi"/>
                <w:sz w:val="18"/>
                <w:szCs w:val="18"/>
              </w:rPr>
              <w:t xml:space="preserve">here has been a significant reduction in the public business sector and, with the emergence of new business opportunities in </w:t>
            </w:r>
            <w:r w:rsidRPr="006A1C57">
              <w:rPr>
                <w:rFonts w:cstheme="minorHAnsi"/>
                <w:sz w:val="18"/>
                <w:szCs w:val="18"/>
              </w:rPr>
              <w:lastRenderedPageBreak/>
              <w:t>the private sector, which has also led to the emergence of new collective bargaining agreements, in this case mainly at the company level.</w:t>
            </w:r>
          </w:p>
        </w:tc>
      </w:tr>
      <w:tr w:rsidR="006A1C57" w:rsidRPr="00CE0380" w14:paraId="28ADEA3D" w14:textId="77777777" w:rsidTr="006A1C57">
        <w:tc>
          <w:tcPr>
            <w:tcW w:w="481" w:type="dxa"/>
            <w:vMerge/>
            <w:vAlign w:val="center"/>
          </w:tcPr>
          <w:p w14:paraId="3E70C2D6" w14:textId="77777777" w:rsidR="006A1C57" w:rsidRDefault="006A1C57" w:rsidP="006A1C57">
            <w:pPr>
              <w:rPr>
                <w:rFonts w:cstheme="minorHAnsi"/>
                <w:b/>
                <w:sz w:val="18"/>
                <w:szCs w:val="18"/>
              </w:rPr>
            </w:pPr>
          </w:p>
        </w:tc>
        <w:tc>
          <w:tcPr>
            <w:tcW w:w="2157" w:type="dxa"/>
            <w:vAlign w:val="center"/>
          </w:tcPr>
          <w:p w14:paraId="06EF71F3" w14:textId="77777777" w:rsidR="006A1C57" w:rsidRDefault="006A1C57" w:rsidP="006A1C57">
            <w:pPr>
              <w:rPr>
                <w:rFonts w:cstheme="minorHAnsi"/>
                <w:b/>
                <w:sz w:val="18"/>
                <w:szCs w:val="18"/>
              </w:rPr>
            </w:pPr>
            <w:r>
              <w:rPr>
                <w:rFonts w:cstheme="minorHAnsi"/>
                <w:b/>
                <w:sz w:val="18"/>
                <w:szCs w:val="18"/>
              </w:rPr>
              <w:t xml:space="preserve">Changes from </w:t>
            </w:r>
          </w:p>
          <w:p w14:paraId="2AF32177" w14:textId="77777777" w:rsidR="006A1C57" w:rsidRDefault="006A1C57" w:rsidP="006A1C57">
            <w:pPr>
              <w:rPr>
                <w:rFonts w:cstheme="minorHAnsi"/>
                <w:b/>
                <w:sz w:val="18"/>
                <w:szCs w:val="18"/>
              </w:rPr>
            </w:pPr>
            <w:r>
              <w:rPr>
                <w:rFonts w:cstheme="minorHAnsi"/>
                <w:b/>
                <w:sz w:val="18"/>
                <w:szCs w:val="18"/>
              </w:rPr>
              <w:t>2010 to 2020:</w:t>
            </w:r>
          </w:p>
          <w:p w14:paraId="4C578FD2" w14:textId="19593FAA" w:rsidR="006A1C57" w:rsidRDefault="006A1C57" w:rsidP="006A1C57">
            <w:pPr>
              <w:rPr>
                <w:rFonts w:cstheme="minorHAnsi"/>
                <w:b/>
                <w:sz w:val="18"/>
                <w:szCs w:val="18"/>
              </w:rPr>
            </w:pPr>
            <w:r>
              <w:rPr>
                <w:rFonts w:cstheme="minorHAnsi"/>
                <w:b/>
                <w:sz w:val="18"/>
                <w:szCs w:val="18"/>
              </w:rPr>
              <w:t xml:space="preserve">Power balance btw. </w:t>
            </w:r>
            <w:proofErr w:type="gramStart"/>
            <w:r>
              <w:rPr>
                <w:rFonts w:cstheme="minorHAnsi"/>
                <w:b/>
                <w:sz w:val="18"/>
                <w:szCs w:val="18"/>
              </w:rPr>
              <w:t xml:space="preserve">employers‘ </w:t>
            </w:r>
            <w:proofErr w:type="spellStart"/>
            <w:r>
              <w:rPr>
                <w:rFonts w:cstheme="minorHAnsi"/>
                <w:b/>
                <w:sz w:val="18"/>
                <w:szCs w:val="18"/>
              </w:rPr>
              <w:t>organisation</w:t>
            </w:r>
            <w:proofErr w:type="spellEnd"/>
            <w:proofErr w:type="gramEnd"/>
            <w:r>
              <w:rPr>
                <w:rFonts w:cstheme="minorHAnsi"/>
                <w:b/>
                <w:sz w:val="18"/>
                <w:szCs w:val="18"/>
              </w:rPr>
              <w:t xml:space="preserve"> and unions</w:t>
            </w:r>
          </w:p>
        </w:tc>
        <w:tc>
          <w:tcPr>
            <w:tcW w:w="1854" w:type="dxa"/>
          </w:tcPr>
          <w:p w14:paraId="5670003A" w14:textId="1A0E5E30" w:rsidR="006A1C57" w:rsidRDefault="006A1C57" w:rsidP="006A1C57">
            <w:pPr>
              <w:rPr>
                <w:rFonts w:cstheme="minorHAnsi"/>
                <w:sz w:val="18"/>
                <w:szCs w:val="18"/>
              </w:rPr>
            </w:pPr>
          </w:p>
        </w:tc>
        <w:tc>
          <w:tcPr>
            <w:tcW w:w="1492" w:type="dxa"/>
          </w:tcPr>
          <w:p w14:paraId="21C58B83" w14:textId="77777777" w:rsidR="006A1C57" w:rsidRPr="00CE0380" w:rsidRDefault="006A1C57" w:rsidP="006A1C57">
            <w:pPr>
              <w:rPr>
                <w:rFonts w:cstheme="minorHAnsi"/>
                <w:sz w:val="18"/>
                <w:szCs w:val="18"/>
              </w:rPr>
            </w:pPr>
          </w:p>
        </w:tc>
        <w:tc>
          <w:tcPr>
            <w:tcW w:w="2135" w:type="dxa"/>
          </w:tcPr>
          <w:p w14:paraId="3285DD48" w14:textId="34400DFD" w:rsidR="006A1C57" w:rsidRPr="00CE0380" w:rsidRDefault="006A1C57" w:rsidP="006A1C57">
            <w:pPr>
              <w:rPr>
                <w:rFonts w:cstheme="minorHAnsi"/>
                <w:sz w:val="18"/>
                <w:szCs w:val="18"/>
              </w:rPr>
            </w:pPr>
          </w:p>
        </w:tc>
        <w:tc>
          <w:tcPr>
            <w:tcW w:w="1448" w:type="dxa"/>
          </w:tcPr>
          <w:p w14:paraId="5486F1F1" w14:textId="77777777" w:rsidR="006A1C57" w:rsidRPr="00CE0380" w:rsidRDefault="006A1C57" w:rsidP="006A1C57">
            <w:pPr>
              <w:rPr>
                <w:rFonts w:cstheme="minorHAnsi"/>
                <w:sz w:val="18"/>
                <w:szCs w:val="18"/>
              </w:rPr>
            </w:pPr>
          </w:p>
        </w:tc>
        <w:tc>
          <w:tcPr>
            <w:tcW w:w="1500" w:type="dxa"/>
          </w:tcPr>
          <w:p w14:paraId="57FC7BC6" w14:textId="77777777" w:rsidR="006A1C57" w:rsidRPr="00CE0380" w:rsidRDefault="006A1C57" w:rsidP="006A1C57">
            <w:pPr>
              <w:rPr>
                <w:rFonts w:cstheme="minorHAnsi"/>
                <w:sz w:val="18"/>
                <w:szCs w:val="18"/>
              </w:rPr>
            </w:pPr>
          </w:p>
        </w:tc>
        <w:tc>
          <w:tcPr>
            <w:tcW w:w="1586" w:type="dxa"/>
          </w:tcPr>
          <w:p w14:paraId="0C2530E0" w14:textId="77777777" w:rsidR="006A1C57" w:rsidRPr="00EF6E0B" w:rsidRDefault="006A1C57" w:rsidP="006A1C57">
            <w:pPr>
              <w:rPr>
                <w:rFonts w:cstheme="minorHAnsi"/>
                <w:sz w:val="18"/>
                <w:szCs w:val="18"/>
              </w:rPr>
            </w:pPr>
          </w:p>
        </w:tc>
        <w:tc>
          <w:tcPr>
            <w:tcW w:w="1659" w:type="dxa"/>
          </w:tcPr>
          <w:p w14:paraId="36EE6701" w14:textId="77777777" w:rsidR="006A1C57" w:rsidRDefault="006A1C57" w:rsidP="006A1C57">
            <w:pPr>
              <w:rPr>
                <w:rFonts w:cstheme="minorHAnsi"/>
                <w:sz w:val="18"/>
                <w:szCs w:val="18"/>
              </w:rPr>
            </w:pPr>
            <w:r w:rsidRPr="006A1C57">
              <w:rPr>
                <w:rFonts w:cstheme="minorHAnsi"/>
                <w:sz w:val="18"/>
                <w:szCs w:val="18"/>
              </w:rPr>
              <w:t>The organizational and technological changes that have taken place in recent years have had an impact on the industrial relations system, both in the internal organization of trade unions and employers' organizations and in the structure of collective bargaining.</w:t>
            </w:r>
          </w:p>
          <w:p w14:paraId="09D0C1F8" w14:textId="72F25B77" w:rsidR="006A1C57" w:rsidRPr="00CE0380" w:rsidRDefault="006A1C57" w:rsidP="006A1C57">
            <w:pPr>
              <w:rPr>
                <w:rFonts w:cstheme="minorHAnsi"/>
                <w:sz w:val="18"/>
                <w:szCs w:val="18"/>
              </w:rPr>
            </w:pPr>
            <w:r w:rsidRPr="006A1C57">
              <w:rPr>
                <w:rFonts w:cstheme="minorHAnsi"/>
                <w:sz w:val="18"/>
                <w:szCs w:val="18"/>
              </w:rPr>
              <w:t xml:space="preserve">Moreover, pressure from the 2010 financial crisis and some elements of the 2012 </w:t>
            </w:r>
            <w:proofErr w:type="spellStart"/>
            <w:r w:rsidRPr="006A1C57">
              <w:rPr>
                <w:rFonts w:cstheme="minorHAnsi"/>
                <w:sz w:val="18"/>
                <w:szCs w:val="18"/>
              </w:rPr>
              <w:t>labour</w:t>
            </w:r>
            <w:proofErr w:type="spellEnd"/>
            <w:r w:rsidRPr="006A1C57">
              <w:rPr>
                <w:rFonts w:cstheme="minorHAnsi"/>
                <w:sz w:val="18"/>
                <w:szCs w:val="18"/>
              </w:rPr>
              <w:t xml:space="preserve"> reform have led to a certain weakness in the bargaining power of trade unions.</w:t>
            </w:r>
          </w:p>
        </w:tc>
      </w:tr>
    </w:tbl>
    <w:p w14:paraId="32FFE0E8" w14:textId="77777777" w:rsidR="00772366" w:rsidRPr="00CE0380" w:rsidRDefault="00772366" w:rsidP="00CE0380">
      <w:pPr>
        <w:spacing w:line="240" w:lineRule="auto"/>
        <w:rPr>
          <w:rFonts w:cstheme="minorHAnsi"/>
          <w:sz w:val="18"/>
          <w:szCs w:val="18"/>
        </w:rPr>
      </w:pPr>
    </w:p>
    <w:sectPr w:rsidR="00772366" w:rsidRPr="00CE0380" w:rsidSect="00CE03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48DBB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FC375F"/>
    <w:multiLevelType w:val="hybridMultilevel"/>
    <w:tmpl w:val="5E48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80BB6"/>
    <w:multiLevelType w:val="hybridMultilevel"/>
    <w:tmpl w:val="FBBAB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F79DC"/>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54CAD"/>
    <w:multiLevelType w:val="hybridMultilevel"/>
    <w:tmpl w:val="8688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0A4638"/>
    <w:multiLevelType w:val="hybridMultilevel"/>
    <w:tmpl w:val="6D560306"/>
    <w:lvl w:ilvl="0" w:tplc="283CCD9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57831422"/>
    <w:multiLevelType w:val="hybridMultilevel"/>
    <w:tmpl w:val="3C68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F32CF8"/>
    <w:multiLevelType w:val="hybridMultilevel"/>
    <w:tmpl w:val="4A7AB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955"/>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58"/>
    <w:rsid w:val="0008267E"/>
    <w:rsid w:val="000D5322"/>
    <w:rsid w:val="000E5D62"/>
    <w:rsid w:val="00196F9E"/>
    <w:rsid w:val="001E5636"/>
    <w:rsid w:val="002378C9"/>
    <w:rsid w:val="00246D11"/>
    <w:rsid w:val="00265F7B"/>
    <w:rsid w:val="002E1DD3"/>
    <w:rsid w:val="003D1B0F"/>
    <w:rsid w:val="00405B7C"/>
    <w:rsid w:val="004518F1"/>
    <w:rsid w:val="004707E6"/>
    <w:rsid w:val="0049242D"/>
    <w:rsid w:val="004B3E25"/>
    <w:rsid w:val="00521843"/>
    <w:rsid w:val="00580C5E"/>
    <w:rsid w:val="006A1C57"/>
    <w:rsid w:val="006B644A"/>
    <w:rsid w:val="006C3746"/>
    <w:rsid w:val="006E647B"/>
    <w:rsid w:val="00772366"/>
    <w:rsid w:val="00776B71"/>
    <w:rsid w:val="007820B0"/>
    <w:rsid w:val="00786627"/>
    <w:rsid w:val="00806AA7"/>
    <w:rsid w:val="00877051"/>
    <w:rsid w:val="009351CF"/>
    <w:rsid w:val="00940759"/>
    <w:rsid w:val="009B78A7"/>
    <w:rsid w:val="009E2076"/>
    <w:rsid w:val="009F1D6C"/>
    <w:rsid w:val="00AB148D"/>
    <w:rsid w:val="00AE0A10"/>
    <w:rsid w:val="00B1269A"/>
    <w:rsid w:val="00BB2590"/>
    <w:rsid w:val="00BC20BB"/>
    <w:rsid w:val="00BD6658"/>
    <w:rsid w:val="00C8319E"/>
    <w:rsid w:val="00C9310C"/>
    <w:rsid w:val="00CA2764"/>
    <w:rsid w:val="00CA31E7"/>
    <w:rsid w:val="00CD54C7"/>
    <w:rsid w:val="00CE0380"/>
    <w:rsid w:val="00CE4E87"/>
    <w:rsid w:val="00D2023D"/>
    <w:rsid w:val="00D5041D"/>
    <w:rsid w:val="00D67BB0"/>
    <w:rsid w:val="00D95BF1"/>
    <w:rsid w:val="00E609EB"/>
    <w:rsid w:val="00ED7120"/>
    <w:rsid w:val="00EF6E0B"/>
    <w:rsid w:val="00F56270"/>
    <w:rsid w:val="00F74E38"/>
    <w:rsid w:val="00FA6F28"/>
    <w:rsid w:val="00FC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440"/>
  <w15:chartTrackingRefBased/>
  <w15:docId w15:val="{E7BE04A8-4985-4798-BE98-2F4AEA95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6658"/>
    <w:pPr>
      <w:ind w:left="720"/>
      <w:contextualSpacing/>
    </w:pPr>
  </w:style>
  <w:style w:type="paragraph" w:styleId="Listaconvietas">
    <w:name w:val="List Bullet"/>
    <w:basedOn w:val="Normal"/>
    <w:uiPriority w:val="99"/>
    <w:unhideWhenUsed/>
    <w:rsid w:val="00BC20B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8D7D-8052-F241-95FD-15BA0CF2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930</Words>
  <Characters>5121</Characters>
  <Application>Microsoft Office Word</Application>
  <DocSecurity>0</DocSecurity>
  <Lines>42</Lines>
  <Paragraphs>12</Paragraphs>
  <ScaleCrop>false</ScaleCrop>
  <HeadingPairs>
    <vt:vector size="8" baseType="variant">
      <vt:variant>
        <vt:lpstr>Título</vt:lpstr>
      </vt:variant>
      <vt:variant>
        <vt:i4>1</vt:i4>
      </vt:variant>
      <vt:variant>
        <vt:lpstr>Tytuł</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SUND - KU</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Microsoft Office User</cp:lastModifiedBy>
  <cp:revision>2</cp:revision>
  <dcterms:created xsi:type="dcterms:W3CDTF">2022-04-04T10:56:00Z</dcterms:created>
  <dcterms:modified xsi:type="dcterms:W3CDTF">2022-04-04T10:56:00Z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